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7D" w:rsidRDefault="008C587D" w:rsidP="008C587D">
      <w:pPr>
        <w:pStyle w:val="NormalWeb"/>
        <w:spacing w:after="0" w:line="240" w:lineRule="auto"/>
        <w:jc w:val="center"/>
        <w:rPr>
          <w:lang w:val="es-ES"/>
        </w:rPr>
      </w:pPr>
    </w:p>
    <w:p w:rsidR="000C59E1" w:rsidRDefault="000C59E1" w:rsidP="008C587D">
      <w:pPr>
        <w:pStyle w:val="NormalWeb"/>
        <w:spacing w:after="0" w:line="240" w:lineRule="auto"/>
        <w:jc w:val="center"/>
        <w:rPr>
          <w:lang w:val="es-ES"/>
        </w:rPr>
      </w:pPr>
    </w:p>
    <w:p w:rsidR="000C59E1" w:rsidRDefault="000C59E1" w:rsidP="008C587D">
      <w:pPr>
        <w:pStyle w:val="NormalWeb"/>
        <w:spacing w:after="0" w:line="240" w:lineRule="auto"/>
        <w:jc w:val="center"/>
        <w:rPr>
          <w:lang w:val="es-ES"/>
        </w:rPr>
      </w:pPr>
    </w:p>
    <w:p w:rsidR="008C587D" w:rsidRDefault="00425BB8" w:rsidP="008C587D">
      <w:pPr>
        <w:pStyle w:val="NormalWeb"/>
        <w:spacing w:after="0" w:line="240" w:lineRule="auto"/>
        <w:jc w:val="center"/>
        <w:rPr>
          <w:lang w:val="es-ES"/>
        </w:rPr>
      </w:pPr>
      <w:r>
        <w:rPr>
          <w:rFonts w:ascii="Arial Black" w:hAnsi="Arial Black"/>
          <w:b/>
          <w:bCs/>
          <w:sz w:val="36"/>
          <w:szCs w:val="36"/>
          <w:lang w:val="es-ES"/>
        </w:rPr>
        <w:t>Licitación Abreviada Nº 19</w:t>
      </w:r>
      <w:r w:rsidR="008C587D">
        <w:rPr>
          <w:rFonts w:ascii="Arial Black" w:hAnsi="Arial Black"/>
          <w:b/>
          <w:bCs/>
          <w:sz w:val="36"/>
          <w:szCs w:val="36"/>
          <w:lang w:val="es-ES"/>
        </w:rPr>
        <w:t>/2019</w:t>
      </w:r>
    </w:p>
    <w:p w:rsidR="008C587D" w:rsidRDefault="008C587D" w:rsidP="008C587D">
      <w:pPr>
        <w:pStyle w:val="NormalWeb"/>
        <w:spacing w:after="0" w:line="240" w:lineRule="auto"/>
        <w:rPr>
          <w:lang w:val="es-ES"/>
        </w:rPr>
      </w:pPr>
    </w:p>
    <w:p w:rsidR="008C587D" w:rsidRDefault="008C587D" w:rsidP="00425BB8">
      <w:pPr>
        <w:pStyle w:val="NormalWeb"/>
        <w:spacing w:after="0" w:line="240" w:lineRule="auto"/>
        <w:rPr>
          <w:lang w:val="es-ES"/>
        </w:rPr>
      </w:pPr>
      <w:r>
        <w:rPr>
          <w:rFonts w:ascii="Arial Black" w:hAnsi="Arial Black"/>
          <w:b/>
          <w:bCs/>
          <w:sz w:val="32"/>
          <w:szCs w:val="32"/>
          <w:u w:val="single"/>
          <w:lang w:val="es-ES"/>
        </w:rPr>
        <w:t>ADQUISICIÓN DE COLUMNAS, LUMINARIA VIAL Y MATERIALES ELECTRICOS PARA LAS CALLES</w:t>
      </w:r>
    </w:p>
    <w:p w:rsidR="008C587D" w:rsidRDefault="008C587D" w:rsidP="008C587D">
      <w:pPr>
        <w:pStyle w:val="NormalWeb"/>
        <w:spacing w:after="0" w:line="240" w:lineRule="auto"/>
        <w:jc w:val="center"/>
        <w:rPr>
          <w:lang w:val="es-ES"/>
        </w:rPr>
      </w:pPr>
      <w:r>
        <w:rPr>
          <w:rFonts w:ascii="Arial Black" w:hAnsi="Arial Black"/>
          <w:b/>
          <w:bCs/>
          <w:sz w:val="32"/>
          <w:szCs w:val="32"/>
          <w:u w:val="single"/>
          <w:lang w:val="es-ES"/>
        </w:rPr>
        <w:t>D</w:t>
      </w:r>
      <w:r w:rsidR="0030423E">
        <w:rPr>
          <w:rFonts w:ascii="Arial Black" w:hAnsi="Arial Black"/>
          <w:b/>
          <w:bCs/>
          <w:sz w:val="32"/>
          <w:szCs w:val="32"/>
          <w:u w:val="single"/>
          <w:lang w:val="es-ES"/>
        </w:rPr>
        <w:t>r. VALERIO LOPEZ Y JULIO C. GRA</w:t>
      </w:r>
      <w:r>
        <w:rPr>
          <w:rFonts w:ascii="Arial Black" w:hAnsi="Arial Black"/>
          <w:b/>
          <w:bCs/>
          <w:sz w:val="32"/>
          <w:szCs w:val="32"/>
          <w:u w:val="single"/>
          <w:lang w:val="es-ES"/>
        </w:rPr>
        <w:t>UERT</w:t>
      </w:r>
    </w:p>
    <w:p w:rsidR="008C587D" w:rsidRDefault="008C587D" w:rsidP="008C587D">
      <w:pPr>
        <w:pStyle w:val="NormalWeb"/>
        <w:spacing w:after="0" w:line="240" w:lineRule="auto"/>
        <w:jc w:val="center"/>
        <w:rPr>
          <w:lang w:val="es-ES"/>
        </w:rPr>
      </w:pPr>
      <w:r>
        <w:rPr>
          <w:rFonts w:ascii="Arial Black" w:hAnsi="Arial Black"/>
          <w:b/>
          <w:bCs/>
          <w:sz w:val="32"/>
          <w:szCs w:val="32"/>
          <w:u w:val="single"/>
          <w:lang w:val="es-ES"/>
        </w:rPr>
        <w:t>EN LA CIUDAD DE PASO DE LOS TOROS</w:t>
      </w:r>
    </w:p>
    <w:p w:rsidR="008C587D" w:rsidRDefault="008C587D" w:rsidP="008C587D">
      <w:pPr>
        <w:pStyle w:val="NormalWeb"/>
        <w:spacing w:after="0" w:line="240" w:lineRule="auto"/>
        <w:rPr>
          <w:lang w:val="es-ES"/>
        </w:rPr>
      </w:pPr>
    </w:p>
    <w:p w:rsidR="008C587D" w:rsidRDefault="008C587D" w:rsidP="008C587D">
      <w:pPr>
        <w:pStyle w:val="NormalWeb"/>
        <w:spacing w:after="0" w:line="240" w:lineRule="auto"/>
        <w:rPr>
          <w:lang w:val="es-ES"/>
        </w:rPr>
      </w:pPr>
    </w:p>
    <w:p w:rsidR="008C587D" w:rsidRDefault="008C587D" w:rsidP="008C587D">
      <w:pPr>
        <w:pStyle w:val="NormalWeb"/>
        <w:spacing w:after="0" w:line="240" w:lineRule="auto"/>
        <w:rPr>
          <w:lang w:val="es-ES"/>
        </w:rPr>
      </w:pPr>
    </w:p>
    <w:p w:rsidR="008C587D" w:rsidRDefault="008C587D" w:rsidP="00425BB8">
      <w:pPr>
        <w:pStyle w:val="NormalWeb"/>
        <w:spacing w:before="0" w:beforeAutospacing="0" w:after="0" w:line="240" w:lineRule="auto"/>
        <w:rPr>
          <w:lang w:val="es-ES"/>
        </w:rPr>
      </w:pPr>
      <w:r>
        <w:rPr>
          <w:b/>
          <w:bCs/>
          <w:sz w:val="28"/>
          <w:szCs w:val="28"/>
          <w:u w:val="single"/>
          <w:lang w:val="es-ES"/>
        </w:rPr>
        <w:t>Recepción de Ofertas</w:t>
      </w:r>
    </w:p>
    <w:p w:rsidR="008C587D" w:rsidRDefault="008C587D" w:rsidP="00425BB8">
      <w:pPr>
        <w:pStyle w:val="NormalWeb"/>
        <w:spacing w:before="0" w:beforeAutospacing="0" w:after="0" w:line="240" w:lineRule="auto"/>
        <w:rPr>
          <w:lang w:val="es-ES"/>
        </w:rPr>
      </w:pPr>
      <w:r>
        <w:rPr>
          <w:b/>
          <w:bCs/>
          <w:sz w:val="28"/>
          <w:szCs w:val="28"/>
          <w:lang w:val="es-ES"/>
        </w:rPr>
        <w:t xml:space="preserve">Fecha: </w:t>
      </w:r>
      <w:r w:rsidR="000C59E1">
        <w:rPr>
          <w:b/>
          <w:bCs/>
          <w:sz w:val="28"/>
          <w:szCs w:val="28"/>
          <w:lang w:val="es-ES"/>
        </w:rPr>
        <w:t>27/08/2019</w:t>
      </w:r>
    </w:p>
    <w:p w:rsidR="008C587D" w:rsidRDefault="008C587D" w:rsidP="00425BB8">
      <w:pPr>
        <w:pStyle w:val="NormalWeb"/>
        <w:spacing w:before="0" w:beforeAutospacing="0" w:after="0" w:line="240" w:lineRule="auto"/>
        <w:rPr>
          <w:lang w:val="es-ES"/>
        </w:rPr>
      </w:pPr>
      <w:r>
        <w:rPr>
          <w:b/>
          <w:bCs/>
          <w:sz w:val="28"/>
          <w:szCs w:val="28"/>
          <w:lang w:val="es-ES"/>
        </w:rPr>
        <w:t xml:space="preserve">Hora: </w:t>
      </w:r>
      <w:r w:rsidR="000C59E1">
        <w:rPr>
          <w:b/>
          <w:bCs/>
          <w:sz w:val="28"/>
          <w:szCs w:val="28"/>
          <w:lang w:val="es-ES"/>
        </w:rPr>
        <w:t xml:space="preserve"> 15:00</w:t>
      </w:r>
    </w:p>
    <w:p w:rsidR="008C587D" w:rsidRDefault="008C587D" w:rsidP="00425BB8">
      <w:pPr>
        <w:pStyle w:val="NormalWeb"/>
        <w:spacing w:before="0" w:beforeAutospacing="0" w:after="0" w:line="240" w:lineRule="auto"/>
        <w:rPr>
          <w:lang w:val="es-ES"/>
        </w:rPr>
      </w:pPr>
      <w:r>
        <w:rPr>
          <w:b/>
          <w:bCs/>
          <w:sz w:val="28"/>
          <w:szCs w:val="28"/>
          <w:lang w:val="es-ES"/>
        </w:rPr>
        <w:t xml:space="preserve">Lugar: Oficina de Licitaciones </w:t>
      </w:r>
    </w:p>
    <w:p w:rsidR="008C587D" w:rsidRDefault="008C587D" w:rsidP="00425BB8">
      <w:pPr>
        <w:pStyle w:val="NormalWeb"/>
        <w:spacing w:before="0" w:beforeAutospacing="0" w:after="0" w:line="240" w:lineRule="auto"/>
        <w:rPr>
          <w:lang w:val="es-ES"/>
        </w:rPr>
      </w:pPr>
    </w:p>
    <w:p w:rsidR="008C587D" w:rsidRDefault="008C587D" w:rsidP="00425BB8">
      <w:pPr>
        <w:pStyle w:val="NormalWeb"/>
        <w:spacing w:before="0" w:beforeAutospacing="0" w:after="0" w:line="240" w:lineRule="auto"/>
        <w:rPr>
          <w:lang w:val="es-ES"/>
        </w:rPr>
      </w:pPr>
    </w:p>
    <w:p w:rsidR="008C587D" w:rsidRDefault="008C587D" w:rsidP="00425BB8">
      <w:pPr>
        <w:pStyle w:val="NormalWeb"/>
        <w:spacing w:before="0" w:beforeAutospacing="0" w:after="0" w:line="240" w:lineRule="auto"/>
        <w:rPr>
          <w:lang w:val="es-ES"/>
        </w:rPr>
      </w:pPr>
    </w:p>
    <w:p w:rsidR="008C587D" w:rsidRDefault="008C587D" w:rsidP="00425BB8">
      <w:pPr>
        <w:pStyle w:val="NormalWeb"/>
        <w:spacing w:before="0" w:beforeAutospacing="0" w:after="0" w:line="240" w:lineRule="auto"/>
        <w:rPr>
          <w:lang w:val="es-ES"/>
        </w:rPr>
      </w:pPr>
    </w:p>
    <w:p w:rsidR="008C587D" w:rsidRDefault="008C587D" w:rsidP="00425BB8">
      <w:pPr>
        <w:pStyle w:val="NormalWeb"/>
        <w:spacing w:before="0" w:beforeAutospacing="0" w:after="0" w:line="240" w:lineRule="auto"/>
        <w:rPr>
          <w:lang w:val="es-ES"/>
        </w:rPr>
      </w:pPr>
      <w:r>
        <w:rPr>
          <w:b/>
          <w:bCs/>
          <w:sz w:val="28"/>
          <w:szCs w:val="28"/>
          <w:u w:val="single"/>
          <w:lang w:val="es-ES"/>
        </w:rPr>
        <w:t>Acto de apertura</w:t>
      </w:r>
    </w:p>
    <w:p w:rsidR="008C587D" w:rsidRDefault="008C587D" w:rsidP="00425BB8">
      <w:pPr>
        <w:pStyle w:val="NormalWeb"/>
        <w:spacing w:before="0" w:beforeAutospacing="0" w:after="0" w:line="240" w:lineRule="auto"/>
        <w:rPr>
          <w:lang w:val="es-ES"/>
        </w:rPr>
      </w:pPr>
      <w:r>
        <w:rPr>
          <w:b/>
          <w:bCs/>
          <w:sz w:val="28"/>
          <w:szCs w:val="28"/>
          <w:lang w:val="es-ES"/>
        </w:rPr>
        <w:t xml:space="preserve">Fecha: </w:t>
      </w:r>
      <w:r w:rsidR="000C59E1">
        <w:rPr>
          <w:b/>
          <w:bCs/>
          <w:sz w:val="28"/>
          <w:szCs w:val="28"/>
          <w:lang w:val="es-ES"/>
        </w:rPr>
        <w:t>27/08/2019</w:t>
      </w:r>
    </w:p>
    <w:p w:rsidR="008C587D" w:rsidRDefault="008C587D" w:rsidP="00425BB8">
      <w:pPr>
        <w:pStyle w:val="NormalWeb"/>
        <w:spacing w:before="0" w:beforeAutospacing="0" w:after="0" w:line="240" w:lineRule="auto"/>
        <w:rPr>
          <w:lang w:val="es-ES"/>
        </w:rPr>
      </w:pPr>
      <w:r>
        <w:rPr>
          <w:b/>
          <w:bCs/>
          <w:sz w:val="28"/>
          <w:szCs w:val="28"/>
          <w:lang w:val="es-ES"/>
        </w:rPr>
        <w:t xml:space="preserve">Hora: </w:t>
      </w:r>
      <w:r w:rsidR="000C59E1">
        <w:rPr>
          <w:b/>
          <w:bCs/>
          <w:sz w:val="28"/>
          <w:szCs w:val="28"/>
          <w:lang w:val="es-ES"/>
        </w:rPr>
        <w:t xml:space="preserve"> 15:00</w:t>
      </w:r>
    </w:p>
    <w:p w:rsidR="008C587D" w:rsidRDefault="008C587D" w:rsidP="00425BB8">
      <w:pPr>
        <w:pStyle w:val="NormalWeb"/>
        <w:spacing w:before="0" w:beforeAutospacing="0" w:after="0" w:line="240" w:lineRule="auto"/>
        <w:rPr>
          <w:b/>
          <w:bCs/>
          <w:sz w:val="28"/>
          <w:szCs w:val="28"/>
          <w:lang w:val="es-ES"/>
        </w:rPr>
      </w:pPr>
      <w:r>
        <w:rPr>
          <w:b/>
          <w:bCs/>
          <w:sz w:val="28"/>
          <w:szCs w:val="28"/>
          <w:lang w:val="es-ES"/>
        </w:rPr>
        <w:t>Lugar: Oficina de Licitaciones</w:t>
      </w: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b/>
          <w:bCs/>
          <w:sz w:val="28"/>
          <w:szCs w:val="28"/>
          <w:lang w:val="es-ES"/>
        </w:rPr>
      </w:pPr>
    </w:p>
    <w:p w:rsidR="00425BB8" w:rsidRDefault="00425BB8" w:rsidP="00425BB8">
      <w:pPr>
        <w:pStyle w:val="NormalWeb"/>
        <w:spacing w:before="0" w:beforeAutospacing="0" w:after="0" w:line="240" w:lineRule="auto"/>
        <w:rPr>
          <w:lang w:val="es-ES"/>
        </w:rPr>
      </w:pPr>
    </w:p>
    <w:p w:rsidR="008C587D" w:rsidRDefault="008C587D" w:rsidP="00425BB8">
      <w:pPr>
        <w:pStyle w:val="NormalWeb"/>
        <w:spacing w:before="0" w:beforeAutospacing="0" w:after="0" w:line="240" w:lineRule="auto"/>
        <w:rPr>
          <w:lang w:val="es-ES"/>
        </w:rPr>
      </w:pPr>
    </w:p>
    <w:p w:rsidR="008C587D" w:rsidRDefault="008C587D" w:rsidP="00340567">
      <w:pPr>
        <w:pStyle w:val="NormalWeb"/>
        <w:numPr>
          <w:ilvl w:val="0"/>
          <w:numId w:val="1"/>
        </w:numPr>
        <w:spacing w:after="0" w:line="240" w:lineRule="auto"/>
        <w:jc w:val="both"/>
        <w:rPr>
          <w:lang w:val="es-ES"/>
        </w:rPr>
      </w:pPr>
      <w:r>
        <w:rPr>
          <w:b/>
          <w:bCs/>
          <w:sz w:val="28"/>
          <w:szCs w:val="28"/>
          <w:lang w:val="es-ES"/>
        </w:rPr>
        <w:t>OBJETO</w:t>
      </w:r>
    </w:p>
    <w:p w:rsidR="008C587D" w:rsidRPr="000C59E1" w:rsidRDefault="008C587D" w:rsidP="00340567">
      <w:pPr>
        <w:pStyle w:val="NormalWeb"/>
        <w:numPr>
          <w:ilvl w:val="0"/>
          <w:numId w:val="2"/>
        </w:numPr>
        <w:spacing w:after="0" w:line="240" w:lineRule="auto"/>
        <w:jc w:val="both"/>
        <w:rPr>
          <w:lang w:val="es-ES"/>
        </w:rPr>
      </w:pPr>
      <w:r>
        <w:rPr>
          <w:lang w:val="es-ES"/>
        </w:rPr>
        <w:t xml:space="preserve">La Licitación tiene por objeto la adquisición de </w:t>
      </w:r>
      <w:r w:rsidRPr="007D38AC">
        <w:rPr>
          <w:b/>
          <w:lang w:val="es-ES"/>
        </w:rPr>
        <w:t>Columnas de Hormigón</w:t>
      </w:r>
      <w:r w:rsidR="002564A2" w:rsidRPr="007D38AC">
        <w:rPr>
          <w:b/>
          <w:lang w:val="es-ES"/>
        </w:rPr>
        <w:t>, luminaria vial y materiales eléctricos</w:t>
      </w:r>
      <w:r w:rsidR="002564A2">
        <w:rPr>
          <w:lang w:val="es-ES"/>
        </w:rPr>
        <w:t>,</w:t>
      </w:r>
      <w:r>
        <w:rPr>
          <w:lang w:val="es-ES"/>
        </w:rPr>
        <w:t xml:space="preserve"> de acuerdo a lo que se detalla a continuación, hasta la</w:t>
      </w:r>
      <w:r w:rsidR="007D38AC">
        <w:rPr>
          <w:lang w:val="es-ES"/>
        </w:rPr>
        <w:t>s</w:t>
      </w:r>
      <w:r>
        <w:rPr>
          <w:lang w:val="es-ES"/>
        </w:rPr>
        <w:t xml:space="preserve"> cantidad</w:t>
      </w:r>
      <w:r w:rsidR="007D38AC">
        <w:rPr>
          <w:lang w:val="es-ES"/>
        </w:rPr>
        <w:t>es</w:t>
      </w:r>
      <w:r>
        <w:rPr>
          <w:lang w:val="es-ES"/>
        </w:rPr>
        <w:t xml:space="preserve"> allí establecida</w:t>
      </w:r>
      <w:r w:rsidR="007D38AC">
        <w:rPr>
          <w:lang w:val="es-ES"/>
        </w:rPr>
        <w:t>s</w:t>
      </w:r>
      <w:r>
        <w:rPr>
          <w:lang w:val="es-ES"/>
        </w:rPr>
        <w:t>.</w:t>
      </w:r>
    </w:p>
    <w:p w:rsidR="008C587D" w:rsidRDefault="008C587D" w:rsidP="00340567">
      <w:pPr>
        <w:pStyle w:val="NormalWeb"/>
        <w:numPr>
          <w:ilvl w:val="0"/>
          <w:numId w:val="24"/>
        </w:numPr>
        <w:spacing w:after="0" w:line="240" w:lineRule="auto"/>
        <w:jc w:val="both"/>
        <w:rPr>
          <w:lang w:val="es-ES"/>
        </w:rPr>
      </w:pPr>
      <w:r w:rsidRPr="00425BB8">
        <w:rPr>
          <w:b/>
          <w:lang w:val="es-ES"/>
        </w:rPr>
        <w:t>60 columnas</w:t>
      </w:r>
      <w:r>
        <w:rPr>
          <w:lang w:val="es-ES"/>
        </w:rPr>
        <w:t>.</w:t>
      </w:r>
    </w:p>
    <w:p w:rsidR="000C59E1" w:rsidRDefault="000C59E1" w:rsidP="00340567">
      <w:pPr>
        <w:pStyle w:val="NormalWeb"/>
        <w:spacing w:before="0" w:beforeAutospacing="0" w:after="0" w:line="240" w:lineRule="auto"/>
        <w:jc w:val="both"/>
        <w:rPr>
          <w:lang w:val="es-ES"/>
        </w:rPr>
      </w:pPr>
    </w:p>
    <w:p w:rsidR="008C587D" w:rsidRDefault="008C587D" w:rsidP="00340567">
      <w:pPr>
        <w:pStyle w:val="NormalWeb"/>
        <w:spacing w:before="0" w:beforeAutospacing="0" w:after="0" w:line="240" w:lineRule="auto"/>
        <w:jc w:val="both"/>
        <w:rPr>
          <w:lang w:val="es-ES"/>
        </w:rPr>
      </w:pPr>
      <w:r>
        <w:rPr>
          <w:lang w:val="es-ES"/>
        </w:rPr>
        <w:t>Sección en la base 25X25cm</w:t>
      </w:r>
    </w:p>
    <w:p w:rsidR="008C587D" w:rsidRDefault="008C587D" w:rsidP="00340567">
      <w:pPr>
        <w:pStyle w:val="NormalWeb"/>
        <w:spacing w:before="0" w:beforeAutospacing="0" w:after="0" w:line="240" w:lineRule="auto"/>
        <w:jc w:val="both"/>
        <w:rPr>
          <w:lang w:val="es-ES"/>
        </w:rPr>
      </w:pPr>
      <w:r>
        <w:rPr>
          <w:lang w:val="es-ES"/>
        </w:rPr>
        <w:t>Sección en la punta 12X12cm</w:t>
      </w:r>
    </w:p>
    <w:p w:rsidR="004A7EC8" w:rsidRDefault="004A7EC8" w:rsidP="00340567">
      <w:pPr>
        <w:pStyle w:val="NormalWeb"/>
        <w:spacing w:before="0" w:beforeAutospacing="0" w:after="0" w:line="240" w:lineRule="auto"/>
        <w:jc w:val="both"/>
        <w:rPr>
          <w:lang w:val="es-ES"/>
        </w:rPr>
      </w:pPr>
    </w:p>
    <w:p w:rsidR="008C587D" w:rsidRDefault="008C587D" w:rsidP="00340567">
      <w:pPr>
        <w:pStyle w:val="NormalWeb"/>
        <w:spacing w:before="0" w:beforeAutospacing="0" w:after="0" w:line="240" w:lineRule="auto"/>
        <w:jc w:val="both"/>
        <w:rPr>
          <w:lang w:val="es-ES"/>
        </w:rPr>
      </w:pPr>
      <w:r>
        <w:rPr>
          <w:lang w:val="es-ES"/>
        </w:rPr>
        <w:t>Longitud 7.5m</w:t>
      </w:r>
    </w:p>
    <w:p w:rsidR="008C587D" w:rsidRDefault="008C587D" w:rsidP="00340567">
      <w:pPr>
        <w:pStyle w:val="NormalWeb"/>
        <w:spacing w:before="0" w:beforeAutospacing="0" w:after="0" w:line="240" w:lineRule="auto"/>
        <w:jc w:val="both"/>
        <w:rPr>
          <w:lang w:val="es-ES"/>
        </w:rPr>
      </w:pPr>
      <w:r>
        <w:rPr>
          <w:lang w:val="es-ES"/>
        </w:rPr>
        <w:t>Esfuerzo 150kg/fuerza</w:t>
      </w:r>
    </w:p>
    <w:p w:rsidR="008C587D" w:rsidRDefault="008C587D" w:rsidP="00340567">
      <w:pPr>
        <w:pStyle w:val="NormalWeb"/>
        <w:spacing w:before="0" w:beforeAutospacing="0" w:after="0" w:line="240" w:lineRule="auto"/>
        <w:jc w:val="both"/>
        <w:rPr>
          <w:lang w:val="es-ES"/>
        </w:rPr>
      </w:pPr>
    </w:p>
    <w:p w:rsidR="008C587D" w:rsidRDefault="008C587D" w:rsidP="00340567">
      <w:pPr>
        <w:pStyle w:val="NormalWeb"/>
        <w:numPr>
          <w:ilvl w:val="0"/>
          <w:numId w:val="24"/>
        </w:numPr>
        <w:spacing w:before="0" w:beforeAutospacing="0" w:after="0" w:line="240" w:lineRule="auto"/>
        <w:jc w:val="both"/>
        <w:rPr>
          <w:b/>
          <w:lang w:val="es-ES"/>
        </w:rPr>
      </w:pPr>
      <w:r w:rsidRPr="00425BB8">
        <w:rPr>
          <w:b/>
          <w:lang w:val="es-ES"/>
        </w:rPr>
        <w:t>140 columnas.</w:t>
      </w:r>
    </w:p>
    <w:p w:rsidR="000C59E1" w:rsidRPr="00425BB8" w:rsidRDefault="000C59E1" w:rsidP="00340567">
      <w:pPr>
        <w:pStyle w:val="NormalWeb"/>
        <w:spacing w:before="0" w:beforeAutospacing="0" w:after="0" w:line="240" w:lineRule="auto"/>
        <w:ind w:left="720"/>
        <w:jc w:val="both"/>
        <w:rPr>
          <w:b/>
          <w:lang w:val="es-ES"/>
        </w:rPr>
      </w:pPr>
    </w:p>
    <w:p w:rsidR="008C587D" w:rsidRDefault="008C587D" w:rsidP="00340567">
      <w:pPr>
        <w:pStyle w:val="NormalWeb"/>
        <w:spacing w:before="0" w:beforeAutospacing="0" w:after="0" w:line="240" w:lineRule="auto"/>
        <w:jc w:val="both"/>
        <w:rPr>
          <w:lang w:val="es-ES"/>
        </w:rPr>
      </w:pPr>
      <w:r>
        <w:rPr>
          <w:lang w:val="es-ES"/>
        </w:rPr>
        <w:t>Sección en la base 28X28cm</w:t>
      </w:r>
    </w:p>
    <w:p w:rsidR="008C587D" w:rsidRDefault="008C587D" w:rsidP="00340567">
      <w:pPr>
        <w:pStyle w:val="NormalWeb"/>
        <w:spacing w:before="0" w:beforeAutospacing="0" w:after="0" w:line="240" w:lineRule="auto"/>
        <w:jc w:val="both"/>
        <w:rPr>
          <w:lang w:val="es-ES"/>
        </w:rPr>
      </w:pPr>
      <w:r>
        <w:rPr>
          <w:lang w:val="es-ES"/>
        </w:rPr>
        <w:t>Sección en la punta 16X16cm</w:t>
      </w:r>
    </w:p>
    <w:p w:rsidR="008C587D" w:rsidRDefault="008C587D" w:rsidP="00340567">
      <w:pPr>
        <w:pStyle w:val="NormalWeb"/>
        <w:spacing w:before="0" w:beforeAutospacing="0" w:after="0" w:line="240" w:lineRule="auto"/>
        <w:jc w:val="both"/>
        <w:rPr>
          <w:lang w:val="es-ES"/>
        </w:rPr>
      </w:pPr>
      <w:r>
        <w:rPr>
          <w:lang w:val="es-ES"/>
        </w:rPr>
        <w:t>Longitud 7.5m</w:t>
      </w:r>
    </w:p>
    <w:p w:rsidR="008C587D" w:rsidRDefault="008C587D" w:rsidP="00340567">
      <w:pPr>
        <w:pStyle w:val="NormalWeb"/>
        <w:spacing w:before="0" w:beforeAutospacing="0" w:after="0" w:line="240" w:lineRule="auto"/>
        <w:jc w:val="both"/>
        <w:rPr>
          <w:lang w:val="es-ES"/>
        </w:rPr>
      </w:pPr>
      <w:r>
        <w:rPr>
          <w:lang w:val="es-ES"/>
        </w:rPr>
        <w:t>Esfuerzo 500kg/fuerza</w:t>
      </w:r>
    </w:p>
    <w:p w:rsidR="008C587D" w:rsidRDefault="008C587D" w:rsidP="00340567">
      <w:pPr>
        <w:pStyle w:val="NormalWeb"/>
        <w:spacing w:after="0" w:line="240" w:lineRule="auto"/>
        <w:jc w:val="both"/>
        <w:rPr>
          <w:lang w:val="es-ES"/>
        </w:rPr>
      </w:pPr>
      <w:r>
        <w:rPr>
          <w:lang w:val="es-ES"/>
        </w:rPr>
        <w:t xml:space="preserve">En su interior deberán tener un caño corrugado de 25mm de sección, con salidas a 1.20m de la base y 0.40m de la punta de la columna. Deberá indicarse detalle de las armaduras transversal longitudinal (estribos, zunchado AL, </w:t>
      </w:r>
      <w:proofErr w:type="spellStart"/>
      <w:r>
        <w:rPr>
          <w:lang w:val="es-ES"/>
        </w:rPr>
        <w:t>etc</w:t>
      </w:r>
      <w:proofErr w:type="spellEnd"/>
      <w:r>
        <w:rPr>
          <w:lang w:val="es-ES"/>
        </w:rPr>
        <w:t>), en plano. Se podrá agregar información extra que aporte para la decisión en la adjudicación.</w:t>
      </w:r>
    </w:p>
    <w:p w:rsidR="008C587D" w:rsidRDefault="008C587D" w:rsidP="00340567">
      <w:pPr>
        <w:pStyle w:val="NormalWeb"/>
        <w:spacing w:after="0" w:line="240" w:lineRule="auto"/>
        <w:jc w:val="both"/>
        <w:rPr>
          <w:lang w:val="es-ES"/>
        </w:rPr>
      </w:pPr>
    </w:p>
    <w:p w:rsidR="008C587D" w:rsidRDefault="002564A2" w:rsidP="00340567">
      <w:pPr>
        <w:pStyle w:val="NormalWeb"/>
        <w:numPr>
          <w:ilvl w:val="0"/>
          <w:numId w:val="3"/>
        </w:numPr>
        <w:spacing w:after="0" w:line="240" w:lineRule="auto"/>
        <w:jc w:val="both"/>
        <w:rPr>
          <w:lang w:val="es-ES"/>
        </w:rPr>
      </w:pPr>
      <w:r>
        <w:rPr>
          <w:lang w:val="es-ES"/>
        </w:rPr>
        <w:t xml:space="preserve"> S</w:t>
      </w:r>
      <w:r w:rsidR="008C587D">
        <w:rPr>
          <w:lang w:val="es-ES"/>
        </w:rPr>
        <w:t xml:space="preserve">uministro de </w:t>
      </w:r>
      <w:r w:rsidR="008C587D" w:rsidRPr="004A7EC8">
        <w:rPr>
          <w:b/>
          <w:lang w:val="es-ES"/>
        </w:rPr>
        <w:t xml:space="preserve">200 luminarias tecnología LED, y demás materiales eléctricos (ANEXO II), </w:t>
      </w:r>
      <w:r w:rsidR="008C587D">
        <w:rPr>
          <w:lang w:val="es-ES"/>
        </w:rPr>
        <w:t>para alumbrado público con destino a las calles Dr. Valerio López y</w:t>
      </w:r>
      <w:r w:rsidR="000B50A3">
        <w:rPr>
          <w:lang w:val="es-ES"/>
        </w:rPr>
        <w:t xml:space="preserve"> Julio C. </w:t>
      </w:r>
      <w:proofErr w:type="spellStart"/>
      <w:r w:rsidR="000B50A3">
        <w:rPr>
          <w:lang w:val="es-ES"/>
        </w:rPr>
        <w:t>Gra</w:t>
      </w:r>
      <w:r w:rsidR="008C587D">
        <w:rPr>
          <w:lang w:val="es-ES"/>
        </w:rPr>
        <w:t>uert</w:t>
      </w:r>
      <w:proofErr w:type="spellEnd"/>
      <w:r w:rsidR="008C587D">
        <w:rPr>
          <w:lang w:val="es-ES"/>
        </w:rPr>
        <w:t xml:space="preserve">, de la ciudad de Paso de los Toros. </w:t>
      </w:r>
    </w:p>
    <w:p w:rsidR="008C587D" w:rsidRDefault="008C587D" w:rsidP="00340567">
      <w:pPr>
        <w:pStyle w:val="NormalWeb"/>
        <w:spacing w:after="0" w:line="240" w:lineRule="auto"/>
        <w:jc w:val="both"/>
        <w:rPr>
          <w:lang w:val="es-ES"/>
        </w:rPr>
      </w:pPr>
    </w:p>
    <w:p w:rsidR="008C587D" w:rsidRDefault="008C587D" w:rsidP="00340567">
      <w:pPr>
        <w:pStyle w:val="NormalWeb"/>
        <w:spacing w:after="0" w:line="240" w:lineRule="auto"/>
        <w:jc w:val="both"/>
        <w:rPr>
          <w:lang w:val="es-ES"/>
        </w:rPr>
      </w:pPr>
      <w:r>
        <w:rPr>
          <w:b/>
          <w:bCs/>
          <w:lang w:val="es-ES"/>
        </w:rPr>
        <w:t xml:space="preserve">REQUISITOS TECNICOS DE LAS LUMINARIAS. </w:t>
      </w:r>
    </w:p>
    <w:p w:rsidR="008C587D" w:rsidRDefault="008C587D" w:rsidP="00340567">
      <w:pPr>
        <w:pStyle w:val="NormalWeb"/>
        <w:spacing w:after="0" w:line="240" w:lineRule="auto"/>
        <w:jc w:val="both"/>
        <w:rPr>
          <w:lang w:val="es-ES"/>
        </w:rPr>
      </w:pPr>
      <w:r>
        <w:rPr>
          <w:lang w:val="es-ES"/>
        </w:rPr>
        <w:t>Para poder obtener una garantía de las luminarias vemos necesario que las mismas cumplan con valores de flujo lumínico, distribución luminosa, temperatura de color, vida media útil.</w:t>
      </w:r>
    </w:p>
    <w:p w:rsidR="008C587D" w:rsidRDefault="008C587D" w:rsidP="00340567">
      <w:pPr>
        <w:pStyle w:val="NormalWeb"/>
        <w:spacing w:after="0" w:line="240" w:lineRule="auto"/>
        <w:jc w:val="both"/>
        <w:rPr>
          <w:lang w:val="es-ES"/>
        </w:rPr>
      </w:pPr>
      <w:r>
        <w:rPr>
          <w:lang w:val="es-ES"/>
        </w:rPr>
        <w:t>Las luminarias deberán cumplir con las certificaciones técnicas indicadas.</w:t>
      </w:r>
    </w:p>
    <w:p w:rsidR="00D812E2" w:rsidRDefault="008C587D" w:rsidP="00340567">
      <w:pPr>
        <w:pStyle w:val="NormalWeb"/>
        <w:spacing w:after="0" w:line="240" w:lineRule="auto"/>
        <w:jc w:val="both"/>
        <w:rPr>
          <w:lang w:val="es-ES"/>
        </w:rPr>
      </w:pPr>
      <w:r>
        <w:rPr>
          <w:lang w:val="es-ES"/>
        </w:rPr>
        <w:t xml:space="preserve">Normas ANSI. </w:t>
      </w:r>
    </w:p>
    <w:p w:rsidR="008C587D" w:rsidRDefault="008C587D" w:rsidP="00340567">
      <w:pPr>
        <w:pStyle w:val="NormalWeb"/>
        <w:spacing w:after="0" w:line="240" w:lineRule="auto"/>
        <w:jc w:val="both"/>
        <w:rPr>
          <w:lang w:val="es-ES"/>
        </w:rPr>
      </w:pPr>
      <w:r>
        <w:rPr>
          <w:lang w:val="es-ES"/>
        </w:rPr>
        <w:t xml:space="preserve">Certificaciones FCC Y UL. </w:t>
      </w:r>
    </w:p>
    <w:p w:rsidR="008C587D" w:rsidRDefault="008C587D" w:rsidP="00340567">
      <w:pPr>
        <w:pStyle w:val="NormalWeb"/>
        <w:spacing w:after="0" w:line="240" w:lineRule="auto"/>
        <w:jc w:val="both"/>
        <w:rPr>
          <w:lang w:val="en-US"/>
        </w:rPr>
      </w:pPr>
      <w:r>
        <w:rPr>
          <w:lang w:val="en-US"/>
        </w:rPr>
        <w:lastRenderedPageBreak/>
        <w:t>Norma UNIT - IEC/PAS 62722 - 2 – 1 – 2011 / UNIT 2014.</w:t>
      </w:r>
    </w:p>
    <w:p w:rsidR="008C587D" w:rsidRDefault="008C587D" w:rsidP="00340567">
      <w:pPr>
        <w:pStyle w:val="NormalWeb"/>
        <w:spacing w:after="0" w:line="240" w:lineRule="auto"/>
        <w:jc w:val="both"/>
        <w:rPr>
          <w:lang w:val="es-ES"/>
        </w:rPr>
      </w:pPr>
      <w:r>
        <w:rPr>
          <w:lang w:val="es-ES"/>
        </w:rPr>
        <w:t>Norma UNIT – IEC / PAS 62717 / 2011.</w:t>
      </w:r>
    </w:p>
    <w:p w:rsidR="008C587D" w:rsidRDefault="008C587D" w:rsidP="00340567">
      <w:pPr>
        <w:pStyle w:val="NormalWeb"/>
        <w:spacing w:after="0" w:line="240" w:lineRule="auto"/>
        <w:jc w:val="both"/>
        <w:rPr>
          <w:lang w:val="es-ES"/>
        </w:rPr>
      </w:pPr>
      <w:r>
        <w:rPr>
          <w:b/>
          <w:bCs/>
        </w:rPr>
        <w:t>Certificación fotométrica.</w:t>
      </w:r>
    </w:p>
    <w:p w:rsidR="008C587D" w:rsidRDefault="008C587D" w:rsidP="00340567">
      <w:pPr>
        <w:pStyle w:val="NormalWeb"/>
        <w:spacing w:after="0" w:line="240" w:lineRule="auto"/>
        <w:jc w:val="both"/>
        <w:rPr>
          <w:lang w:val="es-ES"/>
        </w:rPr>
      </w:pPr>
      <w:r>
        <w:t>Se deberá presentar ensayos que cumpla con:</w:t>
      </w:r>
    </w:p>
    <w:p w:rsidR="008C587D" w:rsidRPr="00C34DF1" w:rsidRDefault="008C587D" w:rsidP="00340567">
      <w:pPr>
        <w:pStyle w:val="NormalWeb"/>
        <w:spacing w:after="0" w:line="240" w:lineRule="auto"/>
        <w:jc w:val="both"/>
        <w:rPr>
          <w:lang w:val="en-US"/>
        </w:rPr>
      </w:pPr>
      <w:r>
        <w:rPr>
          <w:lang w:val="en-US"/>
        </w:rPr>
        <w:t>IES LM – 79 – 08, IESNA Approved Method for the Electrical and Photometric Measurements of Solid- State Lighting Products.</w:t>
      </w:r>
    </w:p>
    <w:p w:rsidR="008C587D" w:rsidRDefault="008C587D" w:rsidP="00340567">
      <w:pPr>
        <w:pStyle w:val="NormalWeb"/>
        <w:spacing w:after="0" w:line="240" w:lineRule="auto"/>
        <w:jc w:val="both"/>
        <w:rPr>
          <w:lang w:val="en-US"/>
        </w:rPr>
      </w:pPr>
      <w:r>
        <w:rPr>
          <w:lang w:val="en-US"/>
        </w:rPr>
        <w:t xml:space="preserve">IEC 62722 - 2 – 1/2011 – Performance of luminaries Part 2 – 1 Particular Requirements for Led Luminaries. </w:t>
      </w:r>
    </w:p>
    <w:p w:rsidR="008C587D" w:rsidRDefault="008C587D" w:rsidP="00340567">
      <w:pPr>
        <w:pStyle w:val="NormalWeb"/>
        <w:spacing w:after="0" w:line="240" w:lineRule="auto"/>
        <w:jc w:val="both"/>
        <w:rPr>
          <w:lang w:val="es-ES"/>
        </w:rPr>
      </w:pPr>
      <w:r>
        <w:rPr>
          <w:lang w:val="es-ES"/>
        </w:rPr>
        <w:t xml:space="preserve">La vida media útil de la luminaria será certificada por el fabricante y oferente de forma solidaria y mancomunada. </w:t>
      </w:r>
    </w:p>
    <w:p w:rsidR="008C587D" w:rsidRDefault="008C587D" w:rsidP="00340567">
      <w:pPr>
        <w:pStyle w:val="NormalWeb"/>
        <w:spacing w:after="0" w:line="240" w:lineRule="auto"/>
        <w:jc w:val="both"/>
        <w:rPr>
          <w:lang w:val="es-ES"/>
        </w:rPr>
      </w:pPr>
      <w:r>
        <w:rPr>
          <w:lang w:val="es-ES"/>
        </w:rPr>
        <w:t xml:space="preserve">Cumpliendo con un mínimo de 60.000 horas de funcionamiento. </w:t>
      </w:r>
    </w:p>
    <w:p w:rsidR="008C587D" w:rsidRDefault="008C587D" w:rsidP="00340567">
      <w:pPr>
        <w:pStyle w:val="NormalWeb"/>
        <w:spacing w:after="0" w:line="240" w:lineRule="auto"/>
        <w:jc w:val="both"/>
        <w:rPr>
          <w:lang w:val="es-ES"/>
        </w:rPr>
      </w:pPr>
      <w:r>
        <w:rPr>
          <w:b/>
          <w:bCs/>
          <w:lang w:val="es-ES"/>
        </w:rPr>
        <w:t>El cumplimiento de la garantía de funcionamiento</w:t>
      </w:r>
      <w:r>
        <w:rPr>
          <w:lang w:val="es-ES"/>
        </w:rPr>
        <w:t xml:space="preserve"> será extendido al resto de los componentes que hacen el funcionamiento de la luminaria.</w:t>
      </w:r>
    </w:p>
    <w:p w:rsidR="008C587D" w:rsidRDefault="008C587D" w:rsidP="00340567">
      <w:pPr>
        <w:pStyle w:val="NormalWeb"/>
        <w:spacing w:after="0" w:line="240" w:lineRule="auto"/>
        <w:jc w:val="both"/>
        <w:rPr>
          <w:lang w:val="es-ES"/>
        </w:rPr>
      </w:pPr>
      <w:r>
        <w:rPr>
          <w:lang w:val="es-ES"/>
        </w:rPr>
        <w:t>Adjudicadas</w:t>
      </w:r>
      <w:r w:rsidR="00D812E2">
        <w:rPr>
          <w:lang w:val="es-ES"/>
        </w:rPr>
        <w:t xml:space="preserve"> las luminarias la Intendencia D</w:t>
      </w:r>
      <w:r>
        <w:rPr>
          <w:lang w:val="es-ES"/>
        </w:rPr>
        <w:t>epartamental podrá establecer un protocolo de ensayo para la verificación del flujo lumínico, que cumplirá con IES LM–80-08 / IESNA, IES TM – 21-11.</w:t>
      </w:r>
    </w:p>
    <w:p w:rsidR="008C587D" w:rsidRDefault="008C587D" w:rsidP="00340567">
      <w:pPr>
        <w:pStyle w:val="NormalWeb"/>
        <w:spacing w:after="0" w:line="240" w:lineRule="auto"/>
        <w:jc w:val="both"/>
        <w:rPr>
          <w:lang w:val="es-ES"/>
        </w:rPr>
      </w:pPr>
    </w:p>
    <w:p w:rsidR="008C587D" w:rsidRDefault="008C587D" w:rsidP="00340567">
      <w:pPr>
        <w:pStyle w:val="NormalWeb"/>
        <w:spacing w:after="0" w:line="240" w:lineRule="auto"/>
        <w:jc w:val="both"/>
        <w:rPr>
          <w:lang w:val="es-ES"/>
        </w:rPr>
      </w:pPr>
      <w:r>
        <w:rPr>
          <w:b/>
          <w:bCs/>
          <w:lang w:val="es-ES"/>
        </w:rPr>
        <w:t>PROCEDIMIENTO DE SELECCIÓN DE LAS LUMINARIAS.</w:t>
      </w:r>
    </w:p>
    <w:p w:rsidR="008C587D" w:rsidRDefault="008C587D" w:rsidP="00340567">
      <w:pPr>
        <w:pStyle w:val="NormalWeb"/>
        <w:spacing w:after="0" w:line="240" w:lineRule="auto"/>
        <w:jc w:val="both"/>
        <w:rPr>
          <w:lang w:val="es-ES"/>
        </w:rPr>
      </w:pPr>
      <w:r>
        <w:rPr>
          <w:lang w:val="es-ES"/>
        </w:rPr>
        <w:t>Al momento de selección; las luminarias deberán cumplir con las siguientes características:</w:t>
      </w:r>
    </w:p>
    <w:p w:rsidR="008C587D" w:rsidRDefault="008C587D" w:rsidP="00340567">
      <w:pPr>
        <w:pStyle w:val="NormalWeb"/>
        <w:spacing w:after="0" w:line="240" w:lineRule="auto"/>
        <w:jc w:val="both"/>
        <w:rPr>
          <w:lang w:val="es-ES"/>
        </w:rPr>
      </w:pPr>
      <w:r>
        <w:rPr>
          <w:lang w:val="es-ES"/>
        </w:rPr>
        <w:t xml:space="preserve">- Aptas para trabajar a una tensión de 230 v. </w:t>
      </w:r>
    </w:p>
    <w:p w:rsidR="008C587D" w:rsidRDefault="008C587D" w:rsidP="00340567">
      <w:pPr>
        <w:pStyle w:val="NormalWeb"/>
        <w:spacing w:after="0" w:line="240" w:lineRule="auto"/>
        <w:jc w:val="both"/>
        <w:rPr>
          <w:lang w:val="es-ES"/>
        </w:rPr>
      </w:pPr>
      <w:r>
        <w:rPr>
          <w:lang w:val="es-ES"/>
        </w:rPr>
        <w:t xml:space="preserve">- Rango de tensión 115 a 240 v. </w:t>
      </w:r>
    </w:p>
    <w:p w:rsidR="008C587D" w:rsidRDefault="008C587D" w:rsidP="00340567">
      <w:pPr>
        <w:pStyle w:val="NormalWeb"/>
        <w:spacing w:after="0" w:line="240" w:lineRule="auto"/>
        <w:jc w:val="both"/>
        <w:rPr>
          <w:lang w:val="es-ES"/>
        </w:rPr>
      </w:pPr>
      <w:r>
        <w:rPr>
          <w:lang w:val="es-ES"/>
        </w:rPr>
        <w:t xml:space="preserve">- Factor de potencia mínima 0.97. </w:t>
      </w:r>
    </w:p>
    <w:p w:rsidR="008C587D" w:rsidRDefault="008C587D" w:rsidP="00340567">
      <w:pPr>
        <w:pStyle w:val="NormalWeb"/>
        <w:spacing w:after="0" w:line="240" w:lineRule="auto"/>
        <w:jc w:val="both"/>
        <w:rPr>
          <w:lang w:val="es-ES"/>
        </w:rPr>
      </w:pPr>
      <w:r>
        <w:rPr>
          <w:lang w:val="es-ES"/>
        </w:rPr>
        <w:t xml:space="preserve">- Temperatura de color 4000ºK – 4500ºK. </w:t>
      </w:r>
    </w:p>
    <w:p w:rsidR="008C587D" w:rsidRDefault="008C587D" w:rsidP="00340567">
      <w:pPr>
        <w:pStyle w:val="NormalWeb"/>
        <w:spacing w:after="0" w:line="240" w:lineRule="auto"/>
        <w:jc w:val="both"/>
        <w:rPr>
          <w:lang w:val="es-ES"/>
        </w:rPr>
      </w:pPr>
      <w:r>
        <w:rPr>
          <w:lang w:val="es-ES"/>
        </w:rPr>
        <w:t xml:space="preserve">- IRC superior a 70. </w:t>
      </w:r>
    </w:p>
    <w:p w:rsidR="008C587D" w:rsidRDefault="008C587D" w:rsidP="00340567">
      <w:pPr>
        <w:pStyle w:val="NormalWeb"/>
        <w:spacing w:after="0" w:line="240" w:lineRule="auto"/>
        <w:jc w:val="both"/>
        <w:rPr>
          <w:lang w:val="es-ES"/>
        </w:rPr>
      </w:pPr>
      <w:r>
        <w:rPr>
          <w:lang w:val="es-ES"/>
        </w:rPr>
        <w:t xml:space="preserve">- Encendido y re encendido instantáneo con el máximo del flujo luminoso. </w:t>
      </w:r>
    </w:p>
    <w:p w:rsidR="008C587D" w:rsidRDefault="008C587D" w:rsidP="00340567">
      <w:pPr>
        <w:pStyle w:val="NormalWeb"/>
        <w:spacing w:after="0" w:line="240" w:lineRule="auto"/>
        <w:jc w:val="both"/>
        <w:rPr>
          <w:lang w:val="es-ES"/>
        </w:rPr>
      </w:pPr>
      <w:r>
        <w:rPr>
          <w:lang w:val="es-ES"/>
        </w:rPr>
        <w:t xml:space="preserve">- Rango de temperaturas de trabajo -5ºC a 50ºC. </w:t>
      </w:r>
    </w:p>
    <w:p w:rsidR="008C587D" w:rsidRDefault="008C587D" w:rsidP="00340567">
      <w:pPr>
        <w:pStyle w:val="NormalWeb"/>
        <w:spacing w:after="0" w:line="240" w:lineRule="auto"/>
        <w:jc w:val="both"/>
        <w:rPr>
          <w:lang w:val="es-ES"/>
        </w:rPr>
      </w:pPr>
      <w:r>
        <w:rPr>
          <w:lang w:val="es-ES"/>
        </w:rPr>
        <w:t xml:space="preserve">- Índice de protección (IP) igual o superior a 65. 3 </w:t>
      </w:r>
    </w:p>
    <w:p w:rsidR="008C587D" w:rsidRDefault="008C587D" w:rsidP="00340567">
      <w:pPr>
        <w:pStyle w:val="NormalWeb"/>
        <w:spacing w:after="0" w:line="240" w:lineRule="auto"/>
        <w:jc w:val="both"/>
        <w:rPr>
          <w:lang w:val="es-ES"/>
        </w:rPr>
      </w:pPr>
      <w:r>
        <w:rPr>
          <w:lang w:val="es-ES"/>
        </w:rPr>
        <w:t xml:space="preserve">- Protección mecánica (IK) mínimo 8. </w:t>
      </w:r>
    </w:p>
    <w:p w:rsidR="008C587D" w:rsidRDefault="008C587D" w:rsidP="00340567">
      <w:pPr>
        <w:pStyle w:val="NormalWeb"/>
        <w:spacing w:after="0" w:line="240" w:lineRule="auto"/>
        <w:jc w:val="both"/>
        <w:rPr>
          <w:lang w:val="es-ES"/>
        </w:rPr>
      </w:pPr>
      <w:r>
        <w:rPr>
          <w:lang w:val="es-ES"/>
        </w:rPr>
        <w:lastRenderedPageBreak/>
        <w:t xml:space="preserve">- Protección contra descargas atmosféricas. </w:t>
      </w:r>
    </w:p>
    <w:p w:rsidR="008C587D" w:rsidRDefault="008C587D" w:rsidP="00340567">
      <w:pPr>
        <w:pStyle w:val="NormalWeb"/>
        <w:spacing w:after="0" w:line="240" w:lineRule="auto"/>
        <w:jc w:val="both"/>
        <w:rPr>
          <w:lang w:val="es-ES"/>
        </w:rPr>
      </w:pPr>
      <w:r>
        <w:rPr>
          <w:lang w:val="es-ES"/>
        </w:rPr>
        <w:t xml:space="preserve">- Carcasa de la luminaria incluirá a todos los componentes, asegurando el cumplimiento de su protección mecánica (IK) y de líquidos y cuerpos extraños (IP) antes referidas. </w:t>
      </w:r>
    </w:p>
    <w:p w:rsidR="008C587D" w:rsidRDefault="008C587D" w:rsidP="00340567">
      <w:pPr>
        <w:pStyle w:val="NormalWeb"/>
        <w:spacing w:after="0" w:line="240" w:lineRule="auto"/>
        <w:jc w:val="both"/>
        <w:rPr>
          <w:lang w:val="es-ES"/>
        </w:rPr>
      </w:pPr>
      <w:r>
        <w:rPr>
          <w:lang w:val="es-ES"/>
        </w:rPr>
        <w:t xml:space="preserve">- Acople a brazos de montaje no superior a 60 mm de diámetro. </w:t>
      </w:r>
    </w:p>
    <w:p w:rsidR="008C587D" w:rsidRDefault="008C587D" w:rsidP="00340567">
      <w:pPr>
        <w:pStyle w:val="NormalWeb"/>
        <w:spacing w:after="0" w:line="240" w:lineRule="auto"/>
        <w:jc w:val="both"/>
        <w:rPr>
          <w:lang w:val="es-ES"/>
        </w:rPr>
      </w:pPr>
      <w:r>
        <w:rPr>
          <w:lang w:val="es-ES"/>
        </w:rPr>
        <w:t xml:space="preserve">- Se </w:t>
      </w:r>
      <w:r w:rsidR="00D812E2">
        <w:rPr>
          <w:lang w:val="es-ES"/>
        </w:rPr>
        <w:t>valorará</w:t>
      </w:r>
      <w:r>
        <w:rPr>
          <w:lang w:val="es-ES"/>
        </w:rPr>
        <w:t xml:space="preserve"> la posibilidad de acople de montaje regulable. </w:t>
      </w:r>
    </w:p>
    <w:p w:rsidR="008C587D" w:rsidRDefault="008C587D" w:rsidP="00340567">
      <w:pPr>
        <w:pStyle w:val="NormalWeb"/>
        <w:spacing w:after="0" w:line="240" w:lineRule="auto"/>
        <w:jc w:val="both"/>
        <w:rPr>
          <w:lang w:val="es-ES"/>
        </w:rPr>
      </w:pPr>
      <w:r>
        <w:rPr>
          <w:lang w:val="es-ES"/>
        </w:rPr>
        <w:t xml:space="preserve">- Todos los accesorios de las luminarias (bulones, tornillos, cierres, bisagras, etc.) serán de acero inoxidable. </w:t>
      </w:r>
    </w:p>
    <w:p w:rsidR="008C587D" w:rsidRDefault="008C587D" w:rsidP="00340567">
      <w:pPr>
        <w:pStyle w:val="NormalWeb"/>
        <w:spacing w:after="0" w:line="240" w:lineRule="auto"/>
        <w:jc w:val="both"/>
        <w:rPr>
          <w:lang w:val="es-ES"/>
        </w:rPr>
      </w:pPr>
      <w:r>
        <w:rPr>
          <w:lang w:val="es-ES"/>
        </w:rPr>
        <w:t xml:space="preserve">- Sujeción de acople con abrazadera regulable en su diámetro y sujeta con más de una hilera de bulones. </w:t>
      </w:r>
    </w:p>
    <w:p w:rsidR="008C587D" w:rsidRDefault="008C587D" w:rsidP="00340567">
      <w:pPr>
        <w:pStyle w:val="NormalWeb"/>
        <w:spacing w:after="0" w:line="240" w:lineRule="auto"/>
        <w:jc w:val="both"/>
        <w:rPr>
          <w:lang w:val="es-ES"/>
        </w:rPr>
      </w:pPr>
      <w:r>
        <w:rPr>
          <w:lang w:val="es-ES"/>
        </w:rPr>
        <w:t xml:space="preserve">- Eficiencia lumínica superior a 120 lúmenes/watts. </w:t>
      </w:r>
    </w:p>
    <w:p w:rsidR="008C587D" w:rsidRDefault="008C587D" w:rsidP="00340567">
      <w:pPr>
        <w:pStyle w:val="NormalWeb"/>
        <w:spacing w:after="0" w:line="240" w:lineRule="auto"/>
        <w:jc w:val="both"/>
        <w:rPr>
          <w:lang w:val="es-ES"/>
        </w:rPr>
      </w:pPr>
      <w:r>
        <w:rPr>
          <w:lang w:val="es-ES"/>
        </w:rPr>
        <w:t xml:space="preserve">- Las luminarias deberán cumplir con las normas UNIT- IEC/PAS 62722-2- 1:2011 (UNIT 2014), UNIT-IEC/PAS 62717:2011, IRAM-AADL J 2022-2:1995. </w:t>
      </w:r>
    </w:p>
    <w:p w:rsidR="008C587D" w:rsidRDefault="008C587D" w:rsidP="00340567">
      <w:pPr>
        <w:pStyle w:val="NormalWeb"/>
        <w:spacing w:after="0" w:line="240" w:lineRule="auto"/>
        <w:jc w:val="both"/>
        <w:rPr>
          <w:lang w:val="es-ES"/>
        </w:rPr>
      </w:pPr>
      <w:r>
        <w:rPr>
          <w:lang w:val="es-ES"/>
        </w:rPr>
        <w:t xml:space="preserve">- </w:t>
      </w:r>
      <w:r>
        <w:rPr>
          <w:u w:val="single"/>
          <w:lang w:val="es-ES"/>
        </w:rPr>
        <w:t xml:space="preserve">Se </w:t>
      </w:r>
      <w:r w:rsidR="00D85FA5">
        <w:rPr>
          <w:u w:val="single"/>
          <w:lang w:val="es-ES"/>
        </w:rPr>
        <w:t>valorará</w:t>
      </w:r>
      <w:r>
        <w:rPr>
          <w:u w:val="single"/>
          <w:lang w:val="es-ES"/>
        </w:rPr>
        <w:t xml:space="preserve"> aquellas luminarias que sean de fabricación o ensambladas en el país o en el Mercosur.</w:t>
      </w:r>
      <w:r>
        <w:rPr>
          <w:lang w:val="es-ES"/>
        </w:rPr>
        <w:t xml:space="preserve"> - Se deberá indicar la posibilidad de colores de las luminarias; tratamiento de la pintura. </w:t>
      </w:r>
    </w:p>
    <w:p w:rsidR="008C587D" w:rsidRDefault="008C587D" w:rsidP="00340567">
      <w:pPr>
        <w:pStyle w:val="NormalWeb"/>
        <w:spacing w:after="0" w:line="240" w:lineRule="auto"/>
        <w:jc w:val="both"/>
        <w:rPr>
          <w:lang w:val="es-ES"/>
        </w:rPr>
      </w:pPr>
      <w:r>
        <w:rPr>
          <w:lang w:val="es-ES"/>
        </w:rPr>
        <w:t xml:space="preserve">- Las mismas serán montadas a una altura de 7.5m con una distancia </w:t>
      </w:r>
      <w:proofErr w:type="spellStart"/>
      <w:r>
        <w:rPr>
          <w:lang w:val="es-ES"/>
        </w:rPr>
        <w:t>interpostal</w:t>
      </w:r>
      <w:proofErr w:type="spellEnd"/>
      <w:r>
        <w:rPr>
          <w:lang w:val="es-ES"/>
        </w:rPr>
        <w:t xml:space="preserve"> de 48 metros (aprox.) entre luminarias. </w:t>
      </w:r>
    </w:p>
    <w:p w:rsidR="008C587D" w:rsidRDefault="008C587D" w:rsidP="00340567">
      <w:pPr>
        <w:pStyle w:val="NormalWeb"/>
        <w:spacing w:after="0" w:line="240" w:lineRule="auto"/>
        <w:jc w:val="both"/>
        <w:rPr>
          <w:lang w:val="es-ES"/>
        </w:rPr>
      </w:pPr>
    </w:p>
    <w:p w:rsidR="008C587D" w:rsidRDefault="008C587D" w:rsidP="00340567">
      <w:pPr>
        <w:pStyle w:val="NormalWeb"/>
        <w:spacing w:after="0" w:line="240" w:lineRule="auto"/>
        <w:jc w:val="both"/>
        <w:rPr>
          <w:lang w:val="es-ES"/>
        </w:rPr>
      </w:pPr>
      <w:r>
        <w:rPr>
          <w:lang w:val="es-ES"/>
        </w:rPr>
        <w:t>Las luminarias presentadas deberán cumplir con estos requerimientos, pero si además cumplen con otros no incluidos en este pliego; deberán ser indicados por escrito para su consideración y evaluación.</w:t>
      </w:r>
    </w:p>
    <w:p w:rsidR="008C587D" w:rsidRDefault="008C587D" w:rsidP="00340567">
      <w:pPr>
        <w:pStyle w:val="NormalWeb"/>
        <w:spacing w:after="0" w:line="240" w:lineRule="auto"/>
        <w:jc w:val="both"/>
        <w:rPr>
          <w:lang w:val="es-ES"/>
        </w:rPr>
      </w:pPr>
    </w:p>
    <w:p w:rsidR="008C587D" w:rsidRDefault="008C587D" w:rsidP="00340567">
      <w:pPr>
        <w:pStyle w:val="NormalWeb"/>
        <w:spacing w:after="0" w:line="240" w:lineRule="auto"/>
        <w:jc w:val="both"/>
        <w:rPr>
          <w:lang w:val="es-ES"/>
        </w:rPr>
      </w:pPr>
      <w:r>
        <w:rPr>
          <w:b/>
          <w:bCs/>
          <w:lang w:val="es-ES"/>
        </w:rPr>
        <w:t xml:space="preserve">Presentación de las luminarias. </w:t>
      </w:r>
    </w:p>
    <w:p w:rsidR="008C587D" w:rsidRDefault="008C587D" w:rsidP="00340567">
      <w:pPr>
        <w:pStyle w:val="NormalWeb"/>
        <w:spacing w:after="0" w:line="240" w:lineRule="auto"/>
        <w:jc w:val="both"/>
        <w:rPr>
          <w:lang w:val="es-ES"/>
        </w:rPr>
      </w:pPr>
    </w:p>
    <w:p w:rsidR="008C587D" w:rsidRDefault="008C587D" w:rsidP="00340567">
      <w:pPr>
        <w:pStyle w:val="NormalWeb"/>
        <w:spacing w:after="0" w:line="240" w:lineRule="auto"/>
        <w:jc w:val="both"/>
        <w:rPr>
          <w:lang w:val="es-ES"/>
        </w:rPr>
      </w:pPr>
      <w:r>
        <w:rPr>
          <w:lang w:val="es-ES"/>
        </w:rPr>
        <w:t>Las luminarias deberán presentarse en embalaje individual protegidas contra golpes; en cajas de cartón con la capacidad de soportar el acopio y traslado sin sufrir desperfectos. El acopio se hará en pallets de madera teniendo en cuenta el máximo apilable recomendado por el fabricante de las luminarias.</w:t>
      </w:r>
    </w:p>
    <w:p w:rsidR="008C587D" w:rsidRDefault="008C587D" w:rsidP="00340567">
      <w:pPr>
        <w:pStyle w:val="NormalWeb"/>
        <w:spacing w:after="0" w:line="240" w:lineRule="auto"/>
        <w:jc w:val="both"/>
        <w:rPr>
          <w:lang w:val="es-ES"/>
        </w:rPr>
      </w:pPr>
    </w:p>
    <w:p w:rsidR="008C587D" w:rsidRDefault="008C587D" w:rsidP="00340567">
      <w:pPr>
        <w:pStyle w:val="NormalWeb"/>
        <w:spacing w:after="0" w:line="240" w:lineRule="auto"/>
        <w:jc w:val="both"/>
        <w:rPr>
          <w:lang w:val="es-ES"/>
        </w:rPr>
      </w:pPr>
      <w:r>
        <w:rPr>
          <w:b/>
          <w:bCs/>
          <w:lang w:val="es-ES"/>
        </w:rPr>
        <w:t xml:space="preserve">2. CONTENIDO DE LAS OFERTAS Y COTIZACION. </w:t>
      </w:r>
    </w:p>
    <w:p w:rsidR="008C587D" w:rsidRDefault="008C587D" w:rsidP="00340567">
      <w:pPr>
        <w:pStyle w:val="NormalWeb"/>
        <w:spacing w:after="0" w:line="240" w:lineRule="auto"/>
        <w:jc w:val="both"/>
        <w:rPr>
          <w:lang w:val="es-ES"/>
        </w:rPr>
      </w:pPr>
    </w:p>
    <w:p w:rsidR="00EF016C" w:rsidRPr="004D2EFE" w:rsidRDefault="008C587D" w:rsidP="00EF016C">
      <w:pPr>
        <w:spacing w:after="120"/>
        <w:ind w:right="120"/>
        <w:jc w:val="both"/>
        <w:rPr>
          <w:rFonts w:ascii="Tahoma" w:eastAsia="Times New Roman" w:hAnsi="Tahoma" w:cs="Tahoma"/>
          <w:lang w:val="es-ES" w:eastAsia="es-ES"/>
        </w:rPr>
      </w:pPr>
      <w:r>
        <w:rPr>
          <w:lang w:val="es-ES"/>
        </w:rPr>
        <w:lastRenderedPageBreak/>
        <w:t>La oferta se presentará en origin</w:t>
      </w:r>
      <w:r w:rsidR="00EF016C">
        <w:rPr>
          <w:lang w:val="es-ES"/>
        </w:rPr>
        <w:t>al y 2 copias en idioma español</w:t>
      </w:r>
      <w:r w:rsidR="00EF016C" w:rsidRPr="004D2EFE">
        <w:rPr>
          <w:lang w:val="es-ES"/>
        </w:rPr>
        <w:t xml:space="preserve">, </w:t>
      </w:r>
      <w:r w:rsidR="00EF016C" w:rsidRPr="004D2EFE">
        <w:rPr>
          <w:rFonts w:ascii="Tahoma" w:eastAsia="Times New Roman" w:hAnsi="Tahoma" w:cs="Tahoma"/>
          <w:lang w:val="es-ES" w:eastAsia="es-ES"/>
        </w:rPr>
        <w:t>se deberá enviar muestras de la luminaria indicándose marca y procedencia de las mismas, las cuales serán presentadas en el Municipio de Paso de los Toros antes de la apertura.</w:t>
      </w:r>
    </w:p>
    <w:p w:rsidR="008C587D" w:rsidRDefault="008C587D" w:rsidP="00340567">
      <w:pPr>
        <w:pStyle w:val="NormalWeb"/>
        <w:spacing w:after="0" w:line="240" w:lineRule="auto"/>
        <w:jc w:val="both"/>
        <w:rPr>
          <w:lang w:val="es-ES"/>
        </w:rPr>
      </w:pPr>
      <w:bookmarkStart w:id="0" w:name="_GoBack"/>
      <w:bookmarkEnd w:id="0"/>
      <w:r>
        <w:rPr>
          <w:lang w:val="es-ES"/>
        </w:rPr>
        <w:t xml:space="preserve">El solo hecho de presentar la oferta, implica el pleno conocimiento y aceptación de todas las condiciones y especificaciones establecidas en los documentos que rigen la presente Licitación. </w:t>
      </w:r>
    </w:p>
    <w:p w:rsidR="008C587D" w:rsidRDefault="008C587D" w:rsidP="00340567">
      <w:pPr>
        <w:pStyle w:val="NormalWeb"/>
        <w:spacing w:after="0" w:line="240" w:lineRule="auto"/>
        <w:jc w:val="both"/>
        <w:rPr>
          <w:lang w:val="es-ES"/>
        </w:rPr>
      </w:pPr>
      <w:r>
        <w:rPr>
          <w:lang w:val="es-ES"/>
        </w:rPr>
        <w:t xml:space="preserve">La oferta deberá ser acompañada de los siguientes datos de información del oferente: nombre, razón social, dirección, teléfono y fax. Dicha información deberá constar en el Formulario de Identificación del Oferente, (Anexo I) del Presente Pliego y tanto éste como la totalidad de los documentos que componen la oferta, deberán estar firmados por persona autorizada a representar y obligar legalmente a la Empresa. </w:t>
      </w:r>
    </w:p>
    <w:p w:rsidR="008C587D" w:rsidRDefault="008C587D" w:rsidP="00340567">
      <w:pPr>
        <w:pStyle w:val="NormalWeb"/>
        <w:spacing w:after="0" w:line="240" w:lineRule="auto"/>
        <w:jc w:val="both"/>
        <w:rPr>
          <w:lang w:val="es-ES"/>
        </w:rPr>
      </w:pPr>
      <w:r>
        <w:rPr>
          <w:lang w:val="es-ES"/>
        </w:rPr>
        <w:t xml:space="preserve">Se deberá ofertar precio unitario y total </w:t>
      </w:r>
      <w:r>
        <w:rPr>
          <w:b/>
          <w:bCs/>
          <w:lang w:val="es-ES"/>
        </w:rPr>
        <w:t>en pesos uruguayos</w:t>
      </w:r>
      <w:r w:rsidR="002E7B22">
        <w:rPr>
          <w:lang w:val="es-ES"/>
        </w:rPr>
        <w:t xml:space="preserve">. </w:t>
      </w:r>
    </w:p>
    <w:p w:rsidR="008C587D" w:rsidRDefault="008C587D" w:rsidP="00340567">
      <w:pPr>
        <w:pStyle w:val="NormalWeb"/>
        <w:spacing w:after="0" w:line="240" w:lineRule="auto"/>
        <w:jc w:val="both"/>
        <w:rPr>
          <w:lang w:val="es-ES"/>
        </w:rPr>
      </w:pPr>
      <w:r>
        <w:rPr>
          <w:lang w:val="es-ES"/>
        </w:rPr>
        <w:t xml:space="preserve">El precio comprenderá en todos los casos el flete y descarga de la mercadería cotizada, la entrega de los bienes de acuerdo al art 9 del presente Pliego. </w:t>
      </w:r>
    </w:p>
    <w:p w:rsidR="008C587D" w:rsidRDefault="008C587D" w:rsidP="00340567">
      <w:pPr>
        <w:pStyle w:val="NormalWeb"/>
        <w:spacing w:after="0" w:line="240" w:lineRule="auto"/>
        <w:jc w:val="both"/>
        <w:rPr>
          <w:lang w:val="es-ES"/>
        </w:rPr>
      </w:pPr>
      <w:r>
        <w:rPr>
          <w:lang w:val="es-ES"/>
        </w:rPr>
        <w:t xml:space="preserve">El precio que se cotiza deberá indicar si incluye o no impuestos, de lo contrario se entenderá que los incluye. </w:t>
      </w:r>
    </w:p>
    <w:p w:rsidR="008C587D" w:rsidRDefault="008C587D" w:rsidP="00340567">
      <w:pPr>
        <w:pStyle w:val="NormalWeb"/>
        <w:spacing w:after="0" w:line="240" w:lineRule="auto"/>
        <w:jc w:val="both"/>
        <w:rPr>
          <w:lang w:val="es-ES"/>
        </w:rPr>
      </w:pPr>
      <w:r>
        <w:rPr>
          <w:lang w:val="es-ES"/>
        </w:rPr>
        <w:t xml:space="preserve">No serán tenidos en cuenta los precios tachados y/o enmendados, con excepción de los casos en que se salve dicha circunstancia mediante anotación al respecto. </w:t>
      </w:r>
    </w:p>
    <w:p w:rsidR="008C587D" w:rsidRDefault="008C587D" w:rsidP="00340567">
      <w:pPr>
        <w:pStyle w:val="NormalWeb"/>
        <w:spacing w:after="0" w:line="240" w:lineRule="auto"/>
        <w:jc w:val="both"/>
        <w:rPr>
          <w:lang w:val="es-ES"/>
        </w:rPr>
      </w:pPr>
    </w:p>
    <w:p w:rsidR="008C587D" w:rsidRPr="00340567" w:rsidRDefault="008C587D" w:rsidP="00340567">
      <w:pPr>
        <w:pStyle w:val="NormalWeb"/>
        <w:spacing w:after="0" w:line="240" w:lineRule="auto"/>
        <w:jc w:val="both"/>
        <w:rPr>
          <w:b/>
          <w:lang w:val="es-ES"/>
        </w:rPr>
      </w:pPr>
      <w:r w:rsidRPr="00340567">
        <w:rPr>
          <w:b/>
          <w:lang w:val="es-ES"/>
        </w:rPr>
        <w:t xml:space="preserve">Asimismo se deberá adjuntar a la oferta: </w:t>
      </w:r>
    </w:p>
    <w:p w:rsidR="008C587D" w:rsidRDefault="008C587D" w:rsidP="00340567">
      <w:pPr>
        <w:pStyle w:val="NormalWeb"/>
        <w:spacing w:after="0" w:line="240" w:lineRule="auto"/>
        <w:jc w:val="both"/>
        <w:rPr>
          <w:lang w:val="es-ES"/>
        </w:rPr>
      </w:pPr>
      <w:r>
        <w:rPr>
          <w:lang w:val="es-ES"/>
        </w:rPr>
        <w:t xml:space="preserve">A) Recibo de Garantía de Mantenimiento de Oferta (en caso de corresponder) </w:t>
      </w:r>
    </w:p>
    <w:p w:rsidR="008C587D" w:rsidRDefault="008C587D" w:rsidP="00340567">
      <w:pPr>
        <w:pStyle w:val="NormalWeb"/>
        <w:spacing w:after="0" w:line="240" w:lineRule="auto"/>
        <w:jc w:val="both"/>
        <w:rPr>
          <w:lang w:val="es-ES"/>
        </w:rPr>
      </w:pPr>
      <w:r>
        <w:rPr>
          <w:lang w:val="es-ES"/>
        </w:rPr>
        <w:t xml:space="preserve">B) Estar inscripto en RUPE (en ingreso o activo). </w:t>
      </w:r>
    </w:p>
    <w:p w:rsidR="008C587D" w:rsidRDefault="008C587D" w:rsidP="00340567">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DOMICILIO.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t xml:space="preserve">Se deberá indicar con precisión en la oferta, el domicilio o número de fax donde se efectuarán las notificaciones, dentro de la República Oriental del Uruguay. Si luego de presentada la oferta hubiera un cambio de domicilio o fax, el oferente deberá notificarlo a la Intendencia Departamental de Tacuarembó dentro de los dos días hábiles de efectuado dicho cambio. </w:t>
      </w:r>
    </w:p>
    <w:p w:rsidR="008C587D" w:rsidRDefault="008C587D" w:rsidP="00340567">
      <w:pPr>
        <w:pStyle w:val="NormalWeb"/>
        <w:spacing w:after="0" w:line="240" w:lineRule="auto"/>
        <w:ind w:left="45"/>
        <w:jc w:val="both"/>
        <w:rPr>
          <w:lang w:val="es-ES"/>
        </w:rPr>
      </w:pPr>
      <w:r>
        <w:rPr>
          <w:lang w:val="es-ES"/>
        </w:rPr>
        <w:t xml:space="preserve">La omisión en ésta comunicación determinará que a los efectos de la presente Licitación, se tenga por válido el anterior domicilio o fax. </w:t>
      </w:r>
    </w:p>
    <w:p w:rsidR="008C587D" w:rsidRDefault="008C587D" w:rsidP="00340567">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lastRenderedPageBreak/>
        <w:t xml:space="preserve">MANTENIMIENTO DE OFERTA.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t>Las ofertas deberán ser man</w:t>
      </w:r>
      <w:r w:rsidR="002E7B22">
        <w:rPr>
          <w:lang w:val="es-ES"/>
        </w:rPr>
        <w:t>tenidas por un plazo mínimo de 6</w:t>
      </w:r>
      <w:r>
        <w:rPr>
          <w:lang w:val="es-ES"/>
        </w:rPr>
        <w:t xml:space="preserve">0 días, contados a partir del día siguiente al de la apertura de la Licitación. El vencimiento del plazo establecido precedentemente no liberará al oferente de su oferta, a no ser que medie notificación escrita a la Intendencia Departamental de Tacuarembó de su decisión de retirar su oferta con una antelación mínima de cinco días hábiles al vencimiento del plazo. </w:t>
      </w:r>
    </w:p>
    <w:p w:rsidR="008C587D" w:rsidRDefault="008C587D" w:rsidP="00340567">
      <w:pPr>
        <w:pStyle w:val="NormalWeb"/>
        <w:spacing w:after="0" w:line="240" w:lineRule="auto"/>
        <w:ind w:left="45"/>
        <w:jc w:val="both"/>
        <w:rPr>
          <w:lang w:val="es-ES"/>
        </w:rPr>
      </w:pPr>
      <w:r>
        <w:rPr>
          <w:lang w:val="es-ES"/>
        </w:rPr>
        <w:t>Aquellas propuestas que no indiquen el plazo de mantenimiento de oferta, se entenderá que tienen vigenc</w:t>
      </w:r>
      <w:r w:rsidR="002E7B22">
        <w:rPr>
          <w:lang w:val="es-ES"/>
        </w:rPr>
        <w:t>ia por el plazo aludido, o sea 6</w:t>
      </w:r>
      <w:r>
        <w:rPr>
          <w:lang w:val="es-ES"/>
        </w:rPr>
        <w:t xml:space="preserve">0 días. </w:t>
      </w:r>
    </w:p>
    <w:p w:rsidR="008C587D" w:rsidRDefault="008C587D" w:rsidP="00340567">
      <w:pPr>
        <w:pStyle w:val="NormalWeb"/>
        <w:spacing w:after="0" w:line="240" w:lineRule="auto"/>
        <w:ind w:left="45"/>
        <w:jc w:val="both"/>
        <w:rPr>
          <w:lang w:val="es-ES"/>
        </w:rPr>
      </w:pPr>
      <w:r>
        <w:rPr>
          <w:lang w:val="es-ES"/>
        </w:rPr>
        <w:t xml:space="preserve">Cuando los oferentes indiquen plazos menores no se tendrán en cuenta dichas propuestas. </w:t>
      </w:r>
    </w:p>
    <w:p w:rsidR="008C587D" w:rsidRDefault="008C587D" w:rsidP="00340567">
      <w:pPr>
        <w:pStyle w:val="NormalWeb"/>
        <w:spacing w:after="0" w:line="240" w:lineRule="auto"/>
        <w:ind w:left="45"/>
        <w:jc w:val="both"/>
        <w:rPr>
          <w:lang w:val="es-ES"/>
        </w:rPr>
      </w:pPr>
      <w:r>
        <w:rPr>
          <w:lang w:val="es-ES"/>
        </w:rPr>
        <w:t xml:space="preserve">Todos los gastos en que incurra un oferente o un comprador de los Pliegos con relación a su posible o efectiva propuesta- incluyendo sin carácter limitativo-, los gastos de desarrollo y confección de la propuesta, serán de absoluta responsabilidad del interesado y no serán reembolsados directa o indirectamente por la Intendencia. </w:t>
      </w:r>
    </w:p>
    <w:p w:rsidR="008C587D" w:rsidRDefault="008C587D" w:rsidP="00340567">
      <w:pPr>
        <w:pStyle w:val="NormalWeb"/>
        <w:spacing w:after="0" w:line="240" w:lineRule="auto"/>
        <w:ind w:left="45"/>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GARANTIA MANTENIMIENTO DE OFERTA. </w:t>
      </w:r>
    </w:p>
    <w:p w:rsidR="008C587D" w:rsidRDefault="008C587D" w:rsidP="002E7B22">
      <w:pPr>
        <w:pStyle w:val="NormalWeb"/>
        <w:spacing w:after="0" w:line="240" w:lineRule="auto"/>
        <w:jc w:val="both"/>
        <w:rPr>
          <w:lang w:val="es-ES"/>
        </w:rPr>
      </w:pPr>
      <w:r>
        <w:rPr>
          <w:lang w:val="es-ES"/>
        </w:rPr>
        <w:t xml:space="preserve">No se exigirá garantía de Mantenimiento de Oferta. </w:t>
      </w:r>
    </w:p>
    <w:p w:rsidR="008C587D" w:rsidRDefault="008C587D" w:rsidP="00340567">
      <w:pPr>
        <w:pStyle w:val="NormalWeb"/>
        <w:spacing w:after="0" w:line="240" w:lineRule="auto"/>
        <w:ind w:left="45"/>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RECEPCION Y APERTURA. </w:t>
      </w:r>
    </w:p>
    <w:p w:rsidR="008C587D" w:rsidRDefault="008C587D" w:rsidP="007807E6">
      <w:pPr>
        <w:pStyle w:val="NormalWeb"/>
        <w:spacing w:after="0" w:line="240" w:lineRule="auto"/>
        <w:jc w:val="both"/>
        <w:rPr>
          <w:lang w:val="es-ES"/>
        </w:rPr>
      </w:pPr>
      <w:r>
        <w:rPr>
          <w:lang w:val="es-ES"/>
        </w:rPr>
        <w:t xml:space="preserve">Las ofertas podrán presentarse personalmente en sobre cerrado, remitidas por correo o al FAX 4632 2687. </w:t>
      </w:r>
    </w:p>
    <w:p w:rsidR="008C587D" w:rsidRDefault="008C587D" w:rsidP="00340567">
      <w:pPr>
        <w:pStyle w:val="NormalWeb"/>
        <w:spacing w:after="0" w:line="240" w:lineRule="auto"/>
        <w:ind w:left="45"/>
        <w:jc w:val="both"/>
        <w:rPr>
          <w:lang w:val="es-ES"/>
        </w:rPr>
      </w:pPr>
      <w:r>
        <w:rPr>
          <w:lang w:val="es-ES"/>
        </w:rPr>
        <w:t>Deberá indicarse en forma clara en la cubierta del sobre el objeto, número y fecha de apertura de la Licitación. Para el caso de que se omita este r</w:t>
      </w:r>
      <w:r w:rsidR="00A70B06">
        <w:rPr>
          <w:lang w:val="es-ES"/>
        </w:rPr>
        <w:t>equisito, la Intendencia Departamental</w:t>
      </w:r>
      <w:r>
        <w:rPr>
          <w:lang w:val="es-ES"/>
        </w:rPr>
        <w:t xml:space="preserve"> de Tacuarembó no aceptará reclamaciones que pudieran plantearse como consecuencia de que los sobres fueron abiertos antes del momento en que corresponda. </w:t>
      </w:r>
    </w:p>
    <w:p w:rsidR="008C587D" w:rsidRDefault="008C587D" w:rsidP="00340567">
      <w:pPr>
        <w:pStyle w:val="NormalWeb"/>
        <w:spacing w:after="0" w:line="240" w:lineRule="auto"/>
        <w:ind w:left="45"/>
        <w:jc w:val="both"/>
        <w:rPr>
          <w:lang w:val="es-ES"/>
        </w:rPr>
      </w:pPr>
      <w:r>
        <w:rPr>
          <w:lang w:val="es-ES"/>
        </w:rPr>
        <w:t xml:space="preserve">En ningún caso las propuestas serán de recibo si no llegaran a la hora dispuesta para la apertura del acto licitatorio. </w:t>
      </w:r>
    </w:p>
    <w:p w:rsidR="008C587D" w:rsidRDefault="008C587D" w:rsidP="00340567">
      <w:pPr>
        <w:pStyle w:val="NormalWeb"/>
        <w:spacing w:after="0" w:line="240" w:lineRule="auto"/>
        <w:ind w:left="45"/>
        <w:jc w:val="both"/>
        <w:rPr>
          <w:lang w:val="es-ES"/>
        </w:rPr>
      </w:pPr>
      <w:r>
        <w:rPr>
          <w:lang w:val="es-ES"/>
        </w:rPr>
        <w:t>Las cotizaciones en todos los casos deberán presentarse, dirigirse o enviarse a la Intendencia Dep</w:t>
      </w:r>
      <w:r w:rsidR="00867169">
        <w:rPr>
          <w:lang w:val="es-ES"/>
        </w:rPr>
        <w:t>artamental</w:t>
      </w:r>
      <w:r>
        <w:rPr>
          <w:lang w:val="es-ES"/>
        </w:rPr>
        <w:t xml:space="preserve"> de Tacuarembó – Oficina de Licitaciones 18 de Julio 164 Teléfono 4632 2687- Tacuarembó. </w:t>
      </w:r>
    </w:p>
    <w:p w:rsidR="008C587D" w:rsidRDefault="008C587D" w:rsidP="00340567">
      <w:pPr>
        <w:pStyle w:val="NormalWeb"/>
        <w:spacing w:after="0" w:line="240" w:lineRule="auto"/>
        <w:ind w:left="45"/>
        <w:jc w:val="both"/>
        <w:rPr>
          <w:lang w:val="es-ES"/>
        </w:rPr>
      </w:pPr>
      <w:r>
        <w:rPr>
          <w:lang w:val="es-ES"/>
        </w:rPr>
        <w:t xml:space="preserve">Las ofertas se abrirán a la hora indicada, cualquiera sea el número de ofertas presentadas, en presencia de los interesados que concurran al acto, única oportunidad, </w:t>
      </w:r>
      <w:r>
        <w:rPr>
          <w:lang w:val="es-ES"/>
        </w:rPr>
        <w:lastRenderedPageBreak/>
        <w:t xml:space="preserve">previa a la adjudicación, en que los oferentes podrán conocer las demás propuestas y ante Escribano Público.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p>
    <w:p w:rsidR="008C587D" w:rsidRPr="007807E6" w:rsidRDefault="008C587D" w:rsidP="007807E6">
      <w:pPr>
        <w:pStyle w:val="NormalWeb"/>
        <w:numPr>
          <w:ilvl w:val="0"/>
          <w:numId w:val="4"/>
        </w:numPr>
        <w:spacing w:after="0" w:line="240" w:lineRule="auto"/>
        <w:jc w:val="both"/>
        <w:rPr>
          <w:lang w:val="es-ES"/>
        </w:rPr>
      </w:pPr>
      <w:r>
        <w:rPr>
          <w:b/>
          <w:bCs/>
          <w:lang w:val="es-ES"/>
        </w:rPr>
        <w:t xml:space="preserve">ADJUDICACION. </w:t>
      </w:r>
    </w:p>
    <w:p w:rsidR="008C587D" w:rsidRDefault="008C587D" w:rsidP="00340567">
      <w:pPr>
        <w:pStyle w:val="NormalWeb"/>
        <w:spacing w:after="0" w:line="240" w:lineRule="auto"/>
        <w:ind w:left="45"/>
        <w:jc w:val="both"/>
        <w:rPr>
          <w:lang w:val="es-ES"/>
        </w:rPr>
      </w:pPr>
      <w:r>
        <w:rPr>
          <w:lang w:val="es-ES"/>
        </w:rPr>
        <w:t xml:space="preserve">La Intendencia Departamental de Tacuarembó, se reserva el derecho de adjudicar parcial o totalmente la presente Licitación a uno o más oferentes, declarar desierta la misma, desestimar las cotizaciones que no se ajusten a las condiciones exigidas así como de aceptar la propuesta que a su juicio sea más conveniente a sus intereses, sin necesidad de que la adjudicación recaiga en aquellas ofertas de menor precio, sin que por ello tengan los oferentes derecho a reclamación de especie alguna. Sin perjuicio además de llevar a cabo la adjudicación en forma total a la propuesta que considere más satisfactoria para el destino de los bienes. </w:t>
      </w:r>
    </w:p>
    <w:p w:rsidR="008C587D" w:rsidRDefault="008C587D" w:rsidP="00340567">
      <w:pPr>
        <w:pStyle w:val="NormalWeb"/>
        <w:spacing w:after="0" w:line="240" w:lineRule="auto"/>
        <w:ind w:left="45"/>
        <w:jc w:val="both"/>
        <w:rPr>
          <w:lang w:val="es-ES"/>
        </w:rPr>
      </w:pPr>
      <w:r>
        <w:rPr>
          <w:lang w:val="es-ES"/>
        </w:rPr>
        <w:t xml:space="preserve">La adjudicación podrá realizarse aún con posterioridad al término del plazo de mantenimiento de la oferta, siempre que el oferente haya manifestado por escrito el mantenimiento de todas las condiciones de su oferta. </w:t>
      </w:r>
    </w:p>
    <w:p w:rsidR="008C587D" w:rsidRDefault="008C587D" w:rsidP="00340567">
      <w:pPr>
        <w:pStyle w:val="NormalWeb"/>
        <w:spacing w:after="0" w:line="240" w:lineRule="auto"/>
        <w:ind w:left="45"/>
        <w:jc w:val="both"/>
        <w:rPr>
          <w:lang w:val="es-ES"/>
        </w:rPr>
      </w:pPr>
      <w:r>
        <w:rPr>
          <w:lang w:val="es-ES"/>
        </w:rPr>
        <w:t xml:space="preserve">Para el caso de llevarse a cabo la adjudicación por un precio superior a los 305.000 Unidades Indexadas, no se aceptará a Empresas que se encuentren afiliadas en la D.G.I. como “Pequeñas Empresas”, en virtud de la normativa impositiva vigente. </w:t>
      </w:r>
    </w:p>
    <w:p w:rsidR="008C587D" w:rsidRDefault="008C587D" w:rsidP="00340567">
      <w:pPr>
        <w:pStyle w:val="NormalWeb"/>
        <w:spacing w:after="0" w:line="240" w:lineRule="auto"/>
        <w:ind w:left="45"/>
        <w:jc w:val="both"/>
        <w:rPr>
          <w:lang w:val="es-ES"/>
        </w:rPr>
      </w:pPr>
    </w:p>
    <w:p w:rsidR="008C587D" w:rsidRPr="00867169" w:rsidRDefault="008C587D" w:rsidP="00867169">
      <w:pPr>
        <w:pStyle w:val="NormalWeb"/>
        <w:numPr>
          <w:ilvl w:val="0"/>
          <w:numId w:val="4"/>
        </w:numPr>
        <w:spacing w:after="0" w:line="240" w:lineRule="auto"/>
        <w:jc w:val="both"/>
        <w:rPr>
          <w:lang w:val="es-ES"/>
        </w:rPr>
      </w:pPr>
      <w:r w:rsidRPr="00867169">
        <w:rPr>
          <w:b/>
          <w:bCs/>
          <w:lang w:val="es-ES"/>
        </w:rPr>
        <w:t xml:space="preserve">DOCUMENTACIÓN A PRESENTAR PARA LA FIRMA DEL CONTRATO. </w:t>
      </w:r>
    </w:p>
    <w:p w:rsidR="008C587D" w:rsidRDefault="008C587D" w:rsidP="00340567">
      <w:pPr>
        <w:pStyle w:val="NormalWeb"/>
        <w:spacing w:after="0" w:line="240" w:lineRule="auto"/>
        <w:ind w:left="45"/>
        <w:jc w:val="both"/>
        <w:rPr>
          <w:lang w:val="es-ES"/>
        </w:rPr>
      </w:pPr>
    </w:p>
    <w:p w:rsidR="008C587D" w:rsidRDefault="008C587D" w:rsidP="007807E6">
      <w:pPr>
        <w:pStyle w:val="NormalWeb"/>
        <w:spacing w:after="0" w:line="240" w:lineRule="auto"/>
        <w:jc w:val="both"/>
        <w:rPr>
          <w:lang w:val="es-ES"/>
        </w:rPr>
      </w:pPr>
      <w:r>
        <w:rPr>
          <w:u w:val="single"/>
          <w:lang w:val="es-ES"/>
        </w:rPr>
        <w:t xml:space="preserve">La Empresa oferente dentro de las 48 horas de notificada que ha sido adjudicataria deberá adjuntar la siguiente documentación: </w:t>
      </w:r>
    </w:p>
    <w:p w:rsidR="008C587D" w:rsidRDefault="008C587D" w:rsidP="00340567">
      <w:pPr>
        <w:pStyle w:val="NormalWeb"/>
        <w:spacing w:after="0" w:line="240" w:lineRule="auto"/>
        <w:ind w:left="45"/>
        <w:jc w:val="both"/>
        <w:rPr>
          <w:lang w:val="es-ES"/>
        </w:rPr>
      </w:pPr>
      <w:r>
        <w:rPr>
          <w:lang w:val="es-ES"/>
        </w:rPr>
        <w:t>a) RUPE (Registro Único de Proveedores del Estado), estar activo.</w:t>
      </w:r>
    </w:p>
    <w:p w:rsidR="008C587D" w:rsidRDefault="008C587D" w:rsidP="007807E6">
      <w:pPr>
        <w:pStyle w:val="NormalWeb"/>
        <w:spacing w:after="0" w:line="240" w:lineRule="auto"/>
        <w:ind w:left="45"/>
        <w:jc w:val="both"/>
        <w:rPr>
          <w:lang w:val="es-ES"/>
        </w:rPr>
      </w:pPr>
      <w:r>
        <w:rPr>
          <w:lang w:val="es-ES"/>
        </w:rPr>
        <w:t xml:space="preserve">b) Recibo de depósito de la Garantía de Cumplimiento de Contrato (en caso de corresponder). </w:t>
      </w:r>
    </w:p>
    <w:p w:rsidR="007807E6" w:rsidRDefault="007807E6" w:rsidP="007807E6">
      <w:pPr>
        <w:pStyle w:val="NormalWeb"/>
        <w:spacing w:after="0" w:line="240" w:lineRule="auto"/>
        <w:ind w:left="45"/>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ENTREGA DE LA MERCADERIA. </w:t>
      </w:r>
    </w:p>
    <w:p w:rsidR="008C587D" w:rsidRPr="00FE0E45" w:rsidRDefault="008C587D" w:rsidP="00340567">
      <w:pPr>
        <w:pStyle w:val="NormalWeb"/>
        <w:spacing w:after="0" w:line="240" w:lineRule="auto"/>
        <w:ind w:left="45"/>
        <w:jc w:val="both"/>
        <w:rPr>
          <w:lang w:val="es-ES"/>
        </w:rPr>
      </w:pPr>
      <w:r>
        <w:rPr>
          <w:lang w:val="es-ES"/>
        </w:rPr>
        <w:t xml:space="preserve">La Intendencia Departamental de Tacuarembó, comunicará al adjudicatario que su oferta ha quedado firme, sin impugnación alguna y en condiciones de que dé cumplimiento a la misma. </w:t>
      </w:r>
      <w:r w:rsidRPr="00FE0E45">
        <w:rPr>
          <w:lang w:val="es-ES"/>
        </w:rPr>
        <w:t xml:space="preserve">Deberán entregar la mercadería en la ciudad de Paso de los Toros, sin costo para la I.D.T., en coordinación con la Dirección de Obras (sector </w:t>
      </w:r>
      <w:r w:rsidRPr="00FE0E45">
        <w:rPr>
          <w:lang w:val="es-ES"/>
        </w:rPr>
        <w:lastRenderedPageBreak/>
        <w:t xml:space="preserve">eléctrico), fijándose como lugar de entrega el Complejo Municipal, sito en calle Wilson Ferreira N° 475.- </w:t>
      </w:r>
    </w:p>
    <w:p w:rsidR="008C587D" w:rsidRPr="00FE0E45" w:rsidRDefault="008C587D" w:rsidP="00340567">
      <w:pPr>
        <w:pStyle w:val="NormalWeb"/>
        <w:spacing w:after="0" w:line="240" w:lineRule="auto"/>
        <w:ind w:left="45"/>
        <w:jc w:val="both"/>
        <w:rPr>
          <w:lang w:val="es-ES"/>
        </w:rPr>
      </w:pPr>
    </w:p>
    <w:p w:rsidR="008C587D" w:rsidRPr="00FE0E45" w:rsidRDefault="008C587D" w:rsidP="00340567">
      <w:pPr>
        <w:pStyle w:val="NormalWeb"/>
        <w:spacing w:after="0" w:line="240" w:lineRule="auto"/>
        <w:ind w:left="45"/>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MORA. </w:t>
      </w:r>
    </w:p>
    <w:p w:rsidR="008C587D" w:rsidRDefault="008C587D" w:rsidP="00340567">
      <w:pPr>
        <w:pStyle w:val="NormalWeb"/>
        <w:spacing w:after="0" w:line="240" w:lineRule="auto"/>
        <w:ind w:left="45"/>
        <w:jc w:val="both"/>
        <w:rPr>
          <w:lang w:val="es-ES"/>
        </w:rPr>
      </w:pPr>
    </w:p>
    <w:p w:rsidR="008C587D" w:rsidRDefault="008C587D" w:rsidP="007807E6">
      <w:pPr>
        <w:pStyle w:val="NormalWeb"/>
        <w:spacing w:after="0" w:line="240" w:lineRule="auto"/>
        <w:ind w:left="45"/>
        <w:jc w:val="both"/>
        <w:rPr>
          <w:lang w:val="es-ES"/>
        </w:rPr>
      </w:pPr>
      <w:r>
        <w:rPr>
          <w:lang w:val="es-ES"/>
        </w:rPr>
        <w:t xml:space="preserve">El vencimiento de los plazos o la realización de cualquier acto o hecho que se traduzca en hacer algo contrario a lo estipulado, o en no cumplir lo pactado, dará lugar a que se configure la mora de pleno derecho, sin necesidad de interpelación judicial o extrajudicial, quedando a salvo los casos de fuerza mayor o caso fortuito debidamente probados por el interesado. </w:t>
      </w:r>
    </w:p>
    <w:p w:rsidR="007807E6" w:rsidRDefault="007807E6" w:rsidP="007807E6">
      <w:pPr>
        <w:pStyle w:val="NormalWeb"/>
        <w:spacing w:after="0" w:line="240" w:lineRule="auto"/>
        <w:ind w:left="45"/>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SANCIONES. </w:t>
      </w:r>
    </w:p>
    <w:p w:rsidR="008C587D" w:rsidRDefault="008C587D" w:rsidP="00340567">
      <w:pPr>
        <w:pStyle w:val="NormalWeb"/>
        <w:spacing w:after="0" w:line="240" w:lineRule="auto"/>
        <w:ind w:left="45"/>
        <w:jc w:val="both"/>
        <w:rPr>
          <w:lang w:val="es-ES"/>
        </w:rPr>
      </w:pPr>
      <w:r>
        <w:rPr>
          <w:lang w:val="es-ES"/>
        </w:rPr>
        <w:t xml:space="preserve">En caso de incumplimiento derivado de que el adjudicatario no cumpla con los requerimientos del Pliego de Condiciones Particulares, será penado con una multa equivalente a un porcentaje de un diez por ciento (10%) del valor de la oferta presentada de acuerdo al Art. 64 inc. 4 del TOCAF. </w:t>
      </w:r>
    </w:p>
    <w:p w:rsidR="008C587D" w:rsidRDefault="008C587D" w:rsidP="00340567">
      <w:pPr>
        <w:pStyle w:val="NormalWeb"/>
        <w:spacing w:after="0" w:line="240" w:lineRule="auto"/>
        <w:ind w:left="45"/>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LITIGIOS. </w:t>
      </w:r>
    </w:p>
    <w:p w:rsidR="008C587D" w:rsidRDefault="008C587D" w:rsidP="00340567">
      <w:pPr>
        <w:pStyle w:val="NormalWeb"/>
        <w:spacing w:after="0" w:line="240" w:lineRule="auto"/>
        <w:ind w:left="45"/>
        <w:jc w:val="both"/>
        <w:rPr>
          <w:lang w:val="es-ES"/>
        </w:rPr>
      </w:pPr>
      <w:r>
        <w:rPr>
          <w:lang w:val="es-ES"/>
        </w:rPr>
        <w:t xml:space="preserve">A los efectos de la adjudicación, la Intendencia tendrá en cuenta los antecedentes de las firmas proponentes,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 </w:t>
      </w:r>
    </w:p>
    <w:p w:rsidR="008C587D" w:rsidRDefault="008C587D" w:rsidP="00FE0E45">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COMPUTO DE LOS PLAZOS. </w:t>
      </w:r>
    </w:p>
    <w:p w:rsidR="008C587D" w:rsidRDefault="008C587D" w:rsidP="00340567">
      <w:pPr>
        <w:pStyle w:val="NormalWeb"/>
        <w:spacing w:after="0" w:line="240" w:lineRule="auto"/>
        <w:ind w:left="45"/>
        <w:jc w:val="both"/>
        <w:rPr>
          <w:lang w:val="es-ES"/>
        </w:rPr>
      </w:pPr>
      <w:r>
        <w:rPr>
          <w:lang w:val="es-ES"/>
        </w:rPr>
        <w:t xml:space="preserve">Todos los plazos serán computados en días hábiles, excepto en aquellos casos en que se indique lo contrario. </w:t>
      </w:r>
    </w:p>
    <w:p w:rsidR="008C587D" w:rsidRDefault="008C587D" w:rsidP="00FE0E45">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PLIEGO DE CONDICIONES.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lastRenderedPageBreak/>
        <w:t>La Licitación se regirá por el presente Pliego de Condiciones Particulares, el Pliego Único de Bases y Condiciones Generales (Dto. N° 131 del 19 de Mayo de 2014) sin perjuicio de las normas legales y reglamentarias vigentes en la materia. El Pliego deberá retirarse en la Oficina de Licitaciones de la Intendencia Departamental de Tacuarembó, Oficina de Proveeduría del Municipio Paso de los Toros - o en la Oficina de Compras de la Intendencia Departamental de Tacuarembó en Montevideo- Maldonado 195</w:t>
      </w:r>
      <w:r w:rsidR="00137C40">
        <w:rPr>
          <w:lang w:val="es-ES"/>
        </w:rPr>
        <w:t>9- Teléfono 24106368</w:t>
      </w:r>
      <w:r>
        <w:rPr>
          <w:lang w:val="es-ES"/>
        </w:rPr>
        <w:t xml:space="preserve"> en días y horarios hábiles, al valor de $ 3.500</w:t>
      </w:r>
      <w:proofErr w:type="gramStart"/>
      <w:r>
        <w:rPr>
          <w:lang w:val="es-ES"/>
        </w:rPr>
        <w:t>,oo</w:t>
      </w:r>
      <w:proofErr w:type="gramEnd"/>
      <w:r>
        <w:rPr>
          <w:lang w:val="es-ES"/>
        </w:rPr>
        <w:t xml:space="preserve"> (Pesos uruguayos tres mil quinientos). </w:t>
      </w:r>
    </w:p>
    <w:p w:rsidR="008C587D" w:rsidRDefault="008C587D" w:rsidP="00EA1D2E">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FORMA DE PAGO. </w:t>
      </w:r>
    </w:p>
    <w:p w:rsidR="008C587D" w:rsidRDefault="008C587D" w:rsidP="00EA1D2E">
      <w:pPr>
        <w:pStyle w:val="NormalWeb"/>
        <w:spacing w:after="0" w:line="240" w:lineRule="auto"/>
        <w:jc w:val="both"/>
        <w:rPr>
          <w:lang w:val="es-ES"/>
        </w:rPr>
      </w:pPr>
      <w:r>
        <w:rPr>
          <w:lang w:val="es-ES"/>
        </w:rPr>
        <w:t xml:space="preserve">El pago se efectuará al contado, en las Oficinas correspondientes de la Intendencia Departamental de Tacuarembó, contra entrega de la mercadería. </w:t>
      </w:r>
    </w:p>
    <w:p w:rsidR="008C587D" w:rsidRDefault="008C587D" w:rsidP="00EA1D2E">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NEGOCIACION CON LAS EMPRESAS.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t xml:space="preserve">La Intendencia podrá, al amparo de lo dispuesto en el Art. 66 del TOCAF, en el caso de presentación de ofertas similares, entablar negociaciones reservadas y paralelas con la finalidad de obtener mejores condiciones. </w:t>
      </w:r>
    </w:p>
    <w:p w:rsidR="008C587D" w:rsidRDefault="008C587D" w:rsidP="00EA1D2E">
      <w:pPr>
        <w:pStyle w:val="NormalWeb"/>
        <w:spacing w:after="0" w:line="240" w:lineRule="auto"/>
        <w:jc w:val="both"/>
        <w:rPr>
          <w:lang w:val="es-ES"/>
        </w:rPr>
      </w:pPr>
    </w:p>
    <w:p w:rsidR="008C587D" w:rsidRDefault="00276FCD" w:rsidP="00340567">
      <w:pPr>
        <w:pStyle w:val="NormalWeb"/>
        <w:numPr>
          <w:ilvl w:val="0"/>
          <w:numId w:val="4"/>
        </w:numPr>
        <w:spacing w:after="0" w:line="240" w:lineRule="auto"/>
        <w:jc w:val="both"/>
        <w:rPr>
          <w:lang w:val="es-ES"/>
        </w:rPr>
      </w:pPr>
      <w:r>
        <w:rPr>
          <w:b/>
          <w:bCs/>
          <w:lang w:val="es-ES"/>
        </w:rPr>
        <w:t>CRITERIOS DE SELECCIÓN Y PONDERACION.</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t xml:space="preserve">Todas las especificaciones indicadas en el presente Pliego, constituyen criterios aproximados de selección, y la Intendencia se reserva el derecho de apreciar - a su exclusivo juicio - el grado de cumplimiento de dichas especificaciones cuando alguna oferta no los cumpla parcialmente, o en su totalidad. </w:t>
      </w:r>
    </w:p>
    <w:p w:rsidR="00276FCD" w:rsidRDefault="00276FCD" w:rsidP="00340567">
      <w:pPr>
        <w:pStyle w:val="NormalWeb"/>
        <w:spacing w:after="0" w:line="240" w:lineRule="auto"/>
        <w:ind w:left="45"/>
        <w:jc w:val="both"/>
        <w:rPr>
          <w:lang w:val="es-ES"/>
        </w:rPr>
      </w:pPr>
    </w:p>
    <w:p w:rsidR="00276FCD" w:rsidRDefault="00276FCD" w:rsidP="00276FCD">
      <w:pPr>
        <w:jc w:val="both"/>
        <w:rPr>
          <w:rFonts w:ascii="Tahoma" w:hAnsi="Tahoma" w:cs="Tahoma"/>
          <w:szCs w:val="26"/>
        </w:rPr>
      </w:pPr>
      <w:r w:rsidRPr="001B6C2F">
        <w:rPr>
          <w:rFonts w:ascii="Tahoma" w:hAnsi="Tahoma" w:cs="Tahoma"/>
          <w:b/>
          <w:szCs w:val="26"/>
        </w:rPr>
        <w:t>PONDERACIONES:</w:t>
      </w:r>
      <w:r w:rsidRPr="001B6C2F">
        <w:rPr>
          <w:rFonts w:ascii="Tahoma" w:hAnsi="Tahoma" w:cs="Tahoma"/>
          <w:szCs w:val="26"/>
        </w:rPr>
        <w:t xml:space="preserve"> (Puntajes)</w:t>
      </w:r>
    </w:p>
    <w:p w:rsidR="00276FCD" w:rsidRDefault="00276FCD" w:rsidP="00276FCD">
      <w:pPr>
        <w:jc w:val="both"/>
        <w:rPr>
          <w:rFonts w:ascii="Tahoma" w:hAnsi="Tahoma" w:cs="Tahoma"/>
          <w:szCs w:val="26"/>
        </w:rPr>
      </w:pPr>
    </w:p>
    <w:p w:rsidR="00276FCD" w:rsidRDefault="00276FCD" w:rsidP="00276FCD">
      <w:pPr>
        <w:numPr>
          <w:ilvl w:val="0"/>
          <w:numId w:val="25"/>
        </w:numPr>
        <w:spacing w:after="0" w:line="240" w:lineRule="auto"/>
        <w:jc w:val="both"/>
        <w:rPr>
          <w:rFonts w:ascii="Tahoma" w:hAnsi="Tahoma" w:cs="Tahoma"/>
          <w:szCs w:val="26"/>
        </w:rPr>
      </w:pPr>
      <w:r>
        <w:rPr>
          <w:rFonts w:ascii="Tahoma" w:hAnsi="Tahoma" w:cs="Tahoma"/>
          <w:szCs w:val="26"/>
        </w:rPr>
        <w:t xml:space="preserve">     Procedencia                             (1 punto)</w:t>
      </w:r>
    </w:p>
    <w:p w:rsidR="00276FCD" w:rsidRDefault="00276FCD" w:rsidP="00276FCD">
      <w:pPr>
        <w:numPr>
          <w:ilvl w:val="0"/>
          <w:numId w:val="25"/>
        </w:numPr>
        <w:spacing w:after="0" w:line="240" w:lineRule="auto"/>
        <w:jc w:val="both"/>
        <w:rPr>
          <w:rFonts w:ascii="Tahoma" w:hAnsi="Tahoma" w:cs="Tahoma"/>
          <w:szCs w:val="26"/>
        </w:rPr>
      </w:pPr>
      <w:r>
        <w:rPr>
          <w:rFonts w:ascii="Tahoma" w:hAnsi="Tahoma" w:cs="Tahoma"/>
          <w:szCs w:val="26"/>
        </w:rPr>
        <w:t xml:space="preserve">     Antigüedad en el mercado         (1 punto)</w:t>
      </w:r>
    </w:p>
    <w:p w:rsidR="00276FCD" w:rsidRDefault="00276FCD" w:rsidP="00276FCD">
      <w:pPr>
        <w:numPr>
          <w:ilvl w:val="0"/>
          <w:numId w:val="25"/>
        </w:numPr>
        <w:spacing w:after="0" w:line="240" w:lineRule="auto"/>
        <w:jc w:val="both"/>
        <w:rPr>
          <w:rFonts w:ascii="Tahoma" w:hAnsi="Tahoma" w:cs="Tahoma"/>
          <w:szCs w:val="26"/>
        </w:rPr>
      </w:pPr>
      <w:r>
        <w:rPr>
          <w:rFonts w:ascii="Tahoma" w:hAnsi="Tahoma" w:cs="Tahoma"/>
          <w:szCs w:val="26"/>
        </w:rPr>
        <w:t xml:space="preserve">     Antecedentes en el mercado   (1 punto)</w:t>
      </w:r>
    </w:p>
    <w:p w:rsidR="00276FCD" w:rsidRDefault="00276FCD" w:rsidP="00276FCD">
      <w:pPr>
        <w:numPr>
          <w:ilvl w:val="0"/>
          <w:numId w:val="25"/>
        </w:numPr>
        <w:spacing w:after="0" w:line="240" w:lineRule="auto"/>
        <w:jc w:val="both"/>
        <w:rPr>
          <w:rFonts w:ascii="Tahoma" w:hAnsi="Tahoma" w:cs="Tahoma"/>
          <w:szCs w:val="26"/>
        </w:rPr>
      </w:pPr>
      <w:r>
        <w:rPr>
          <w:rFonts w:ascii="Tahoma" w:hAnsi="Tahoma" w:cs="Tahoma"/>
          <w:szCs w:val="26"/>
        </w:rPr>
        <w:t xml:space="preserve">     Entrega </w:t>
      </w:r>
      <w:r w:rsidR="0086678D">
        <w:rPr>
          <w:rFonts w:ascii="Tahoma" w:hAnsi="Tahoma" w:cs="Tahoma"/>
          <w:szCs w:val="26"/>
        </w:rPr>
        <w:t xml:space="preserve">plazo                        </w:t>
      </w:r>
      <w:r>
        <w:rPr>
          <w:rFonts w:ascii="Tahoma" w:hAnsi="Tahoma" w:cs="Tahoma"/>
          <w:szCs w:val="26"/>
        </w:rPr>
        <w:t xml:space="preserve"> (1 punto)</w:t>
      </w:r>
    </w:p>
    <w:p w:rsidR="00276FCD" w:rsidRDefault="00276FCD" w:rsidP="00276FCD">
      <w:pPr>
        <w:numPr>
          <w:ilvl w:val="0"/>
          <w:numId w:val="25"/>
        </w:numPr>
        <w:spacing w:after="0" w:line="240" w:lineRule="auto"/>
        <w:jc w:val="both"/>
        <w:rPr>
          <w:rFonts w:ascii="Tahoma" w:hAnsi="Tahoma" w:cs="Tahoma"/>
          <w:szCs w:val="26"/>
        </w:rPr>
      </w:pPr>
      <w:r>
        <w:rPr>
          <w:rFonts w:ascii="Tahoma" w:hAnsi="Tahoma" w:cs="Tahoma"/>
          <w:szCs w:val="26"/>
        </w:rPr>
        <w:t xml:space="preserve">     Garan</w:t>
      </w:r>
      <w:r w:rsidR="0086678D">
        <w:rPr>
          <w:rFonts w:ascii="Tahoma" w:hAnsi="Tahoma" w:cs="Tahoma"/>
          <w:szCs w:val="26"/>
        </w:rPr>
        <w:t xml:space="preserve">tía en caso de fallas       </w:t>
      </w:r>
      <w:r>
        <w:rPr>
          <w:rFonts w:ascii="Tahoma" w:hAnsi="Tahoma" w:cs="Tahoma"/>
          <w:szCs w:val="26"/>
        </w:rPr>
        <w:t>(1 punto)</w:t>
      </w:r>
    </w:p>
    <w:p w:rsidR="00276FCD" w:rsidRPr="00FD1B32" w:rsidRDefault="00276FCD" w:rsidP="00276FCD">
      <w:pPr>
        <w:ind w:left="1080"/>
        <w:jc w:val="both"/>
        <w:rPr>
          <w:rFonts w:ascii="Tahoma" w:hAnsi="Tahoma" w:cs="Tahoma"/>
          <w:b/>
          <w:szCs w:val="26"/>
        </w:rPr>
      </w:pPr>
      <w:r w:rsidRPr="00FD1B32">
        <w:rPr>
          <w:rFonts w:ascii="Tahoma" w:hAnsi="Tahoma" w:cs="Tahoma"/>
          <w:b/>
          <w:szCs w:val="26"/>
        </w:rPr>
        <w:t>Total 5 puntos</w:t>
      </w:r>
    </w:p>
    <w:p w:rsidR="008C587D" w:rsidRDefault="008C587D" w:rsidP="00F45378">
      <w:pPr>
        <w:pStyle w:val="NormalWeb"/>
        <w:spacing w:after="0" w:line="240" w:lineRule="auto"/>
        <w:jc w:val="both"/>
        <w:rPr>
          <w:lang w:val="es-ES"/>
        </w:rPr>
      </w:pPr>
    </w:p>
    <w:p w:rsidR="008C587D" w:rsidRPr="00EA1D2E" w:rsidRDefault="008C587D" w:rsidP="00EA1D2E">
      <w:pPr>
        <w:pStyle w:val="NormalWeb"/>
        <w:numPr>
          <w:ilvl w:val="0"/>
          <w:numId w:val="4"/>
        </w:numPr>
        <w:spacing w:after="0" w:line="240" w:lineRule="auto"/>
        <w:jc w:val="both"/>
        <w:rPr>
          <w:lang w:val="es-ES"/>
        </w:rPr>
      </w:pPr>
      <w:r>
        <w:rPr>
          <w:b/>
          <w:bCs/>
          <w:lang w:val="es-ES"/>
        </w:rPr>
        <w:lastRenderedPageBreak/>
        <w:t xml:space="preserve">CONSULTAS. </w:t>
      </w:r>
    </w:p>
    <w:p w:rsidR="008C587D" w:rsidRDefault="008C587D" w:rsidP="00340567">
      <w:pPr>
        <w:pStyle w:val="NormalWeb"/>
        <w:spacing w:after="0" w:line="240" w:lineRule="auto"/>
        <w:ind w:left="45"/>
        <w:jc w:val="both"/>
        <w:rPr>
          <w:lang w:val="es-ES"/>
        </w:rPr>
      </w:pPr>
      <w:r>
        <w:rPr>
          <w:lang w:val="es-ES"/>
        </w:rPr>
        <w:t>Por información adicional se podría consultar en la Intendencia Dep</w:t>
      </w:r>
      <w:r w:rsidR="00FE0E45">
        <w:rPr>
          <w:lang w:val="es-ES"/>
        </w:rPr>
        <w:t>artamental</w:t>
      </w:r>
      <w:r>
        <w:rPr>
          <w:lang w:val="es-ES"/>
        </w:rPr>
        <w:t xml:space="preserve"> de Tacuarembó, Tel. 46324671/76 interno 216, Dirección de Alumbrado Público y Electricidad (Sr. Eduardo </w:t>
      </w:r>
      <w:proofErr w:type="spellStart"/>
      <w:r>
        <w:rPr>
          <w:lang w:val="es-ES"/>
        </w:rPr>
        <w:t>Colmán</w:t>
      </w:r>
      <w:proofErr w:type="spellEnd"/>
      <w:r>
        <w:rPr>
          <w:lang w:val="es-ES"/>
        </w:rPr>
        <w:t xml:space="preserve">), en días y horarios hábiles, ó por el mail </w:t>
      </w:r>
      <w:hyperlink r:id="rId5" w:history="1">
        <w:r w:rsidR="00F45378" w:rsidRPr="00781172">
          <w:rPr>
            <w:rStyle w:val="Hipervnculo"/>
            <w:lang w:val="es-ES"/>
          </w:rPr>
          <w:t>licitaciones@idt.gub.uy</w:t>
        </w:r>
      </w:hyperlink>
    </w:p>
    <w:p w:rsidR="008C587D" w:rsidRDefault="008C587D" w:rsidP="00FE0E45">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IDENTIFICACION DEL OFERENTE.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t xml:space="preserve">Los oferentes deberán presentar el Formulario de Identificación del Oferente, según (Anexo I) del presente Pliego. </w:t>
      </w:r>
    </w:p>
    <w:p w:rsidR="008C587D" w:rsidRDefault="008C587D" w:rsidP="00FE0E45">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VALOR DE LA INFORMACION TECNICA PRESENTADA.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t xml:space="preserve">Todos los datos indicados en la propuesta referente a los elementos ofrecidos tendrán carácter de compromiso, es decir que si se verifica que los mismos no responden estrictamente a lo establecido en la propuesta, la Administración podrá rechazarlos de pleno invalidando la oferta o rescindiendo el contrato respectivo según corresponda, sin que ello de lugar a reclamación de clase alguna de parte del proponente. </w:t>
      </w:r>
    </w:p>
    <w:p w:rsidR="008C587D" w:rsidRDefault="008C587D" w:rsidP="00DC573E">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NORMAS QUE RIGEN LA PRESENTE LICITACION.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t>Regirá conjuntamente con las disposiciones del Presente Pliego de Condiciones Particulares, la Ley 18.</w:t>
      </w:r>
      <w:r w:rsidR="00FE0E45">
        <w:rPr>
          <w:lang w:val="es-ES"/>
        </w:rPr>
        <w:t xml:space="preserve">834 Art. 13 a 57, el TOCAF (Dto. 150/12, la Ley Orgánica </w:t>
      </w:r>
      <w:r>
        <w:rPr>
          <w:lang w:val="es-ES"/>
        </w:rPr>
        <w:t xml:space="preserve"> Municipal (9515), las disposiciones legales vigentes aplicables en la materia y asimismo se considerará el Art. 54 de la Ley 18.651. </w:t>
      </w:r>
    </w:p>
    <w:p w:rsidR="008C587D" w:rsidRDefault="008C587D" w:rsidP="00FE0E45">
      <w:pPr>
        <w:pStyle w:val="NormalWeb"/>
        <w:spacing w:after="0" w:line="240" w:lineRule="auto"/>
        <w:jc w:val="both"/>
        <w:rPr>
          <w:lang w:val="es-ES"/>
        </w:rPr>
      </w:pPr>
    </w:p>
    <w:p w:rsidR="008C587D" w:rsidRDefault="008C587D" w:rsidP="00340567">
      <w:pPr>
        <w:pStyle w:val="NormalWeb"/>
        <w:numPr>
          <w:ilvl w:val="0"/>
          <w:numId w:val="4"/>
        </w:numPr>
        <w:spacing w:after="0" w:line="240" w:lineRule="auto"/>
        <w:jc w:val="both"/>
        <w:rPr>
          <w:lang w:val="es-ES"/>
        </w:rPr>
      </w:pPr>
      <w:r>
        <w:rPr>
          <w:b/>
          <w:bCs/>
          <w:lang w:val="es-ES"/>
        </w:rPr>
        <w:t xml:space="preserve">SOLICITUD DE PRORROGA Y ACLARACIONES.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r>
        <w:rPr>
          <w:lang w:val="es-ES"/>
        </w:rPr>
        <w:t xml:space="preserve">Los oferentes podrán solicitar prórroga y aclaraciones del Pliego hasta tres días hábiles antes de la fecha indicada para la apertura, en Oficina de Licitaciones de la Intendencia. </w:t>
      </w:r>
    </w:p>
    <w:p w:rsidR="008C587D" w:rsidRDefault="008C587D" w:rsidP="00340567">
      <w:pPr>
        <w:pStyle w:val="NormalWeb"/>
        <w:spacing w:after="0" w:line="240" w:lineRule="auto"/>
        <w:ind w:left="45"/>
        <w:jc w:val="both"/>
        <w:rPr>
          <w:lang w:val="es-ES"/>
        </w:rPr>
      </w:pPr>
    </w:p>
    <w:p w:rsidR="008C587D" w:rsidRDefault="008C587D" w:rsidP="00340567">
      <w:pPr>
        <w:pStyle w:val="NormalWeb"/>
        <w:spacing w:after="0" w:line="240" w:lineRule="auto"/>
        <w:ind w:left="45"/>
        <w:jc w:val="both"/>
        <w:rPr>
          <w:lang w:val="es-ES"/>
        </w:rPr>
      </w:pPr>
    </w:p>
    <w:p w:rsidR="00FE0E45" w:rsidRDefault="00FE0E45" w:rsidP="008C587D">
      <w:pPr>
        <w:pStyle w:val="NormalWeb"/>
        <w:spacing w:after="0" w:line="240" w:lineRule="auto"/>
        <w:rPr>
          <w:lang w:val="es-ES"/>
        </w:rPr>
      </w:pPr>
    </w:p>
    <w:p w:rsidR="008C587D" w:rsidRDefault="008C587D" w:rsidP="008C587D">
      <w:pPr>
        <w:pStyle w:val="NormalWeb"/>
        <w:spacing w:after="0" w:line="240" w:lineRule="auto"/>
        <w:ind w:left="45"/>
        <w:jc w:val="center"/>
        <w:rPr>
          <w:lang w:val="es-ES"/>
        </w:rPr>
      </w:pPr>
      <w:r>
        <w:rPr>
          <w:rFonts w:ascii="Arial Black" w:hAnsi="Arial Black"/>
          <w:b/>
          <w:bCs/>
          <w:sz w:val="32"/>
          <w:szCs w:val="32"/>
          <w:lang w:val="es-ES"/>
        </w:rPr>
        <w:t>ANEXO I</w:t>
      </w:r>
    </w:p>
    <w:p w:rsidR="008C587D" w:rsidRDefault="008C587D" w:rsidP="008C587D">
      <w:pPr>
        <w:pStyle w:val="NormalWeb"/>
        <w:spacing w:after="0" w:line="240" w:lineRule="auto"/>
        <w:ind w:left="45"/>
        <w:jc w:val="center"/>
        <w:rPr>
          <w:lang w:val="es-ES"/>
        </w:rPr>
      </w:pPr>
    </w:p>
    <w:p w:rsidR="008C587D" w:rsidRDefault="008C587D" w:rsidP="008C587D">
      <w:pPr>
        <w:pStyle w:val="NormalWeb"/>
        <w:spacing w:after="0" w:line="240" w:lineRule="auto"/>
        <w:ind w:left="45"/>
        <w:jc w:val="center"/>
        <w:rPr>
          <w:lang w:val="es-ES"/>
        </w:rPr>
      </w:pPr>
      <w:r>
        <w:rPr>
          <w:rFonts w:ascii="Arial Black" w:hAnsi="Arial Black"/>
          <w:b/>
          <w:bCs/>
          <w:sz w:val="32"/>
          <w:szCs w:val="32"/>
          <w:lang w:val="es-ES"/>
        </w:rPr>
        <w:t>FORMULARIO DE IDENTIFICACION DEL OFERENTE</w:t>
      </w:r>
    </w:p>
    <w:p w:rsidR="008C587D" w:rsidRDefault="008C587D" w:rsidP="0030423E">
      <w:pPr>
        <w:pStyle w:val="NormalWeb"/>
        <w:spacing w:after="0" w:line="240" w:lineRule="auto"/>
        <w:rPr>
          <w:lang w:val="es-ES"/>
        </w:rPr>
      </w:pPr>
    </w:p>
    <w:p w:rsidR="008C587D" w:rsidRDefault="008C587D" w:rsidP="0030423E">
      <w:pPr>
        <w:pStyle w:val="NormalWeb"/>
        <w:spacing w:before="120" w:beforeAutospacing="0" w:after="0" w:line="240" w:lineRule="auto"/>
        <w:ind w:left="45"/>
        <w:rPr>
          <w:lang w:val="es-ES"/>
        </w:rPr>
      </w:pPr>
      <w:r>
        <w:rPr>
          <w:lang w:val="es-ES"/>
        </w:rPr>
        <w:t>Razón Social de la Empresa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Nombre Comercial de la Empresa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R.U.T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Domicilio a los efectos de la presente Licitación --------------------------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Calle -------------------------------------------------------------------------- N°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Localidad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Código Postal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País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ind w:left="45"/>
        <w:rPr>
          <w:lang w:val="es-ES"/>
        </w:rPr>
      </w:pPr>
      <w:r>
        <w:rPr>
          <w:lang w:val="es-ES"/>
        </w:rPr>
        <w:t>Correo electrónico ---------------------------------------------------------------</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120" w:beforeAutospacing="0" w:after="0" w:line="240" w:lineRule="auto"/>
        <w:rPr>
          <w:lang w:val="es-ES"/>
        </w:rPr>
      </w:pPr>
      <w:r>
        <w:rPr>
          <w:lang w:val="es-ES"/>
        </w:rPr>
        <w:t>Teléfono ----------------------------------------------------------Fax-------------</w:t>
      </w:r>
      <w:r w:rsidR="0030423E">
        <w:rPr>
          <w:lang w:val="es-ES"/>
        </w:rPr>
        <w:t>------------------</w:t>
      </w:r>
    </w:p>
    <w:p w:rsidR="008C587D" w:rsidRDefault="008C587D" w:rsidP="0030423E">
      <w:pPr>
        <w:pStyle w:val="NormalWeb"/>
        <w:spacing w:before="120" w:beforeAutospacing="0" w:after="0" w:line="240" w:lineRule="auto"/>
        <w:ind w:left="45"/>
        <w:rPr>
          <w:lang w:val="es-ES"/>
        </w:rPr>
      </w:pPr>
    </w:p>
    <w:p w:rsidR="008C587D" w:rsidRDefault="008C587D" w:rsidP="0030423E">
      <w:pPr>
        <w:pStyle w:val="NormalWeb"/>
        <w:spacing w:before="0" w:beforeAutospacing="0" w:after="0" w:line="240" w:lineRule="auto"/>
        <w:rPr>
          <w:lang w:val="es-ES"/>
        </w:rPr>
      </w:pPr>
      <w:r>
        <w:rPr>
          <w:lang w:val="es-ES"/>
        </w:rPr>
        <w:t xml:space="preserve">Declaro estar en condiciones legales de contratar con el estado. </w:t>
      </w:r>
    </w:p>
    <w:p w:rsidR="008C587D" w:rsidRDefault="008C587D" w:rsidP="0030423E">
      <w:pPr>
        <w:pStyle w:val="NormalWeb"/>
        <w:spacing w:before="0" w:beforeAutospacing="0" w:after="0" w:line="240" w:lineRule="auto"/>
        <w:ind w:left="45"/>
        <w:rPr>
          <w:lang w:val="es-ES"/>
        </w:rPr>
      </w:pPr>
    </w:p>
    <w:p w:rsidR="008C587D" w:rsidRDefault="008C587D" w:rsidP="0030423E">
      <w:pPr>
        <w:pStyle w:val="NormalWeb"/>
        <w:spacing w:before="0" w:beforeAutospacing="0" w:after="0" w:line="240" w:lineRule="auto"/>
        <w:rPr>
          <w:lang w:val="es-ES"/>
        </w:rPr>
      </w:pPr>
      <w:r>
        <w:rPr>
          <w:lang w:val="es-ES"/>
        </w:rPr>
        <w:t>Firma/s ------------------------------------------------------------------------------</w:t>
      </w:r>
      <w:r w:rsidR="0030423E">
        <w:rPr>
          <w:lang w:val="es-ES"/>
        </w:rPr>
        <w:t>------------------</w:t>
      </w:r>
    </w:p>
    <w:p w:rsidR="008C587D" w:rsidRDefault="008C587D" w:rsidP="0030423E">
      <w:pPr>
        <w:pStyle w:val="NormalWeb"/>
        <w:spacing w:before="0" w:beforeAutospacing="0" w:after="0" w:line="240" w:lineRule="auto"/>
        <w:ind w:left="45"/>
        <w:rPr>
          <w:lang w:val="es-ES"/>
        </w:rPr>
      </w:pPr>
    </w:p>
    <w:p w:rsidR="008C587D" w:rsidRDefault="008C587D" w:rsidP="0030423E">
      <w:pPr>
        <w:pStyle w:val="NormalWeb"/>
        <w:spacing w:before="0" w:beforeAutospacing="0" w:after="0" w:line="240" w:lineRule="auto"/>
        <w:ind w:left="45"/>
        <w:rPr>
          <w:lang w:val="es-ES"/>
        </w:rPr>
      </w:pPr>
      <w:r>
        <w:rPr>
          <w:lang w:val="es-ES"/>
        </w:rPr>
        <w:t>Aclaración de Firmas -------------------------------------------------------------</w:t>
      </w:r>
      <w:r w:rsidR="0030423E">
        <w:rPr>
          <w:lang w:val="es-ES"/>
        </w:rPr>
        <w:t>------------------</w:t>
      </w:r>
    </w:p>
    <w:p w:rsidR="008C587D" w:rsidRDefault="008C587D" w:rsidP="0030423E">
      <w:pPr>
        <w:pStyle w:val="NormalWeb"/>
        <w:spacing w:before="0" w:beforeAutospacing="0" w:after="0" w:line="240" w:lineRule="auto"/>
        <w:ind w:left="45"/>
        <w:rPr>
          <w:lang w:val="es-ES"/>
        </w:rPr>
      </w:pPr>
    </w:p>
    <w:p w:rsidR="008C587D" w:rsidRDefault="008C587D" w:rsidP="0030423E">
      <w:pPr>
        <w:pStyle w:val="NormalWeb"/>
        <w:spacing w:after="0" w:line="240" w:lineRule="auto"/>
        <w:rPr>
          <w:lang w:val="es-ES"/>
        </w:rPr>
      </w:pPr>
    </w:p>
    <w:p w:rsidR="008C587D" w:rsidRDefault="008C587D" w:rsidP="008C587D">
      <w:pPr>
        <w:pStyle w:val="NormalWeb"/>
        <w:spacing w:after="0" w:line="240" w:lineRule="auto"/>
        <w:ind w:left="45"/>
        <w:jc w:val="center"/>
        <w:rPr>
          <w:lang w:val="es-ES"/>
        </w:rPr>
      </w:pPr>
      <w:r>
        <w:rPr>
          <w:rFonts w:ascii="Arial Black" w:hAnsi="Arial Black"/>
          <w:b/>
          <w:bCs/>
          <w:sz w:val="40"/>
          <w:szCs w:val="40"/>
          <w:lang w:val="es-ES"/>
        </w:rPr>
        <w:t>ANEXO II</w:t>
      </w:r>
    </w:p>
    <w:p w:rsidR="008C587D" w:rsidRDefault="008C587D" w:rsidP="0030423E">
      <w:pPr>
        <w:pStyle w:val="NormalWeb"/>
        <w:spacing w:after="0" w:line="240" w:lineRule="auto"/>
        <w:rPr>
          <w:lang w:val="es-ES"/>
        </w:rPr>
      </w:pPr>
    </w:p>
    <w:p w:rsidR="008C587D" w:rsidRDefault="008C587D" w:rsidP="008C587D">
      <w:pPr>
        <w:pStyle w:val="NormalWeb"/>
        <w:spacing w:after="0" w:line="240" w:lineRule="auto"/>
        <w:ind w:left="45"/>
        <w:rPr>
          <w:lang w:val="es-ES"/>
        </w:rPr>
      </w:pPr>
    </w:p>
    <w:p w:rsidR="008C587D" w:rsidRDefault="0030423E"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1) </w:t>
      </w:r>
      <w:r w:rsidR="008C587D">
        <w:rPr>
          <w:lang w:val="es-ES"/>
        </w:rPr>
        <w:t xml:space="preserve">4.700 </w:t>
      </w:r>
      <w:proofErr w:type="spellStart"/>
      <w:r w:rsidR="008C587D">
        <w:rPr>
          <w:lang w:val="es-ES"/>
        </w:rPr>
        <w:t>Mts.</w:t>
      </w:r>
      <w:proofErr w:type="spellEnd"/>
      <w:r w:rsidR="008C587D">
        <w:rPr>
          <w:lang w:val="es-ES"/>
        </w:rPr>
        <w:t xml:space="preserve"> Cable Pre ensamblado 3 x 16 m/m</w:t>
      </w:r>
    </w:p>
    <w:p w:rsidR="008C587D" w:rsidRDefault="008C587D" w:rsidP="003E3873">
      <w:pPr>
        <w:pStyle w:val="NormalWeb"/>
        <w:spacing w:before="0" w:beforeAutospacing="0" w:after="0" w:line="240" w:lineRule="auto"/>
        <w:ind w:left="284"/>
        <w:rPr>
          <w:lang w:val="es-ES"/>
        </w:rPr>
      </w:pPr>
    </w:p>
    <w:p w:rsidR="008C587D" w:rsidRDefault="0030423E"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2) </w:t>
      </w:r>
      <w:r w:rsidR="008C587D">
        <w:rPr>
          <w:lang w:val="es-ES"/>
        </w:rPr>
        <w:t xml:space="preserve">200 Caños Galvanizados p/luminaria 2 </w:t>
      </w:r>
      <w:proofErr w:type="spellStart"/>
      <w:r w:rsidR="008C587D">
        <w:rPr>
          <w:lang w:val="es-ES"/>
        </w:rPr>
        <w:t>mts</w:t>
      </w:r>
      <w:proofErr w:type="spellEnd"/>
      <w:r w:rsidR="008C587D">
        <w:rPr>
          <w:lang w:val="es-ES"/>
        </w:rPr>
        <w:t xml:space="preserve">. x 1 ¼” con </w:t>
      </w:r>
      <w:proofErr w:type="spellStart"/>
      <w:r w:rsidR="008C587D">
        <w:rPr>
          <w:lang w:val="es-ES"/>
        </w:rPr>
        <w:t>cupla</w:t>
      </w:r>
      <w:proofErr w:type="spellEnd"/>
      <w:r w:rsidR="008C587D">
        <w:rPr>
          <w:lang w:val="es-ES"/>
        </w:rPr>
        <w:t xml:space="preserve"> 60 m/m</w:t>
      </w:r>
    </w:p>
    <w:p w:rsidR="008C587D" w:rsidRDefault="008C587D" w:rsidP="003E3873">
      <w:pPr>
        <w:pStyle w:val="NormalWeb"/>
        <w:spacing w:before="0" w:beforeAutospacing="0" w:after="0" w:line="240" w:lineRule="auto"/>
        <w:ind w:left="284"/>
        <w:rPr>
          <w:lang w:val="es-ES"/>
        </w:rPr>
      </w:pPr>
    </w:p>
    <w:p w:rsidR="008C587D" w:rsidRPr="00C34DF1" w:rsidRDefault="0030423E" w:rsidP="003E3873">
      <w:pPr>
        <w:pStyle w:val="NormalWeb"/>
        <w:spacing w:before="0" w:beforeAutospacing="0" w:after="0" w:line="240" w:lineRule="auto"/>
        <w:ind w:left="284"/>
        <w:rPr>
          <w:lang w:val="en-US"/>
        </w:rPr>
      </w:pPr>
      <w:r w:rsidRPr="00C34DF1">
        <w:rPr>
          <w:lang w:val="en-US"/>
        </w:rPr>
        <w:t xml:space="preserve">Item. 3) </w:t>
      </w:r>
      <w:r w:rsidR="008C587D" w:rsidRPr="00C34DF1">
        <w:rPr>
          <w:lang w:val="en-US"/>
        </w:rPr>
        <w:t>470 Grampas Morceto p/cable 4-16 m/m</w:t>
      </w:r>
    </w:p>
    <w:p w:rsidR="008C587D" w:rsidRPr="00C34DF1" w:rsidRDefault="008C587D" w:rsidP="003E3873">
      <w:pPr>
        <w:pStyle w:val="NormalWeb"/>
        <w:spacing w:before="0" w:beforeAutospacing="0" w:after="0" w:line="240" w:lineRule="auto"/>
        <w:ind w:left="284"/>
        <w:rPr>
          <w:lang w:val="en-US"/>
        </w:rPr>
      </w:pPr>
    </w:p>
    <w:p w:rsidR="008C587D" w:rsidRDefault="0030423E"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4) </w:t>
      </w:r>
      <w:r w:rsidR="008C587D">
        <w:rPr>
          <w:lang w:val="es-ES"/>
        </w:rPr>
        <w:t xml:space="preserve"> 60 Conjunto Retención c/ménsula para pre ensamblado 16 m/m</w:t>
      </w:r>
    </w:p>
    <w:p w:rsidR="008C587D" w:rsidRDefault="008C587D" w:rsidP="003E3873">
      <w:pPr>
        <w:pStyle w:val="NormalWeb"/>
        <w:spacing w:before="0" w:beforeAutospacing="0" w:after="0" w:line="240" w:lineRule="auto"/>
        <w:ind w:left="284"/>
        <w:rPr>
          <w:lang w:val="es-ES"/>
        </w:rPr>
      </w:pPr>
    </w:p>
    <w:p w:rsidR="008C587D" w:rsidRDefault="0030423E"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5) </w:t>
      </w:r>
      <w:r w:rsidR="008C587D">
        <w:rPr>
          <w:lang w:val="es-ES"/>
        </w:rPr>
        <w:t xml:space="preserve">170 Conjunto </w:t>
      </w:r>
      <w:proofErr w:type="spellStart"/>
      <w:r w:rsidR="008C587D">
        <w:rPr>
          <w:lang w:val="es-ES"/>
        </w:rPr>
        <w:t>Suspenci</w:t>
      </w:r>
      <w:r w:rsidR="008C587D">
        <w:t>ón</w:t>
      </w:r>
      <w:proofErr w:type="spellEnd"/>
      <w:r w:rsidR="008C587D">
        <w:rPr>
          <w:lang w:val="es-ES"/>
        </w:rPr>
        <w:t xml:space="preserve"> c/ménsula p/pre ensamblado 16 m/m</w:t>
      </w:r>
    </w:p>
    <w:p w:rsidR="008C587D" w:rsidRDefault="008C587D" w:rsidP="003E3873">
      <w:pPr>
        <w:pStyle w:val="NormalWeb"/>
        <w:spacing w:before="0" w:beforeAutospacing="0" w:after="0" w:line="240" w:lineRule="auto"/>
        <w:ind w:left="284"/>
        <w:rPr>
          <w:lang w:val="es-ES"/>
        </w:rPr>
      </w:pPr>
    </w:p>
    <w:p w:rsidR="008C587D" w:rsidRDefault="0030423E"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6) </w:t>
      </w:r>
      <w:r w:rsidR="008C587D">
        <w:rPr>
          <w:lang w:val="es-ES"/>
        </w:rPr>
        <w:t xml:space="preserve"> 430 Tornillos 210 x 10 c/tuerca y arandela</w:t>
      </w:r>
    </w:p>
    <w:p w:rsidR="008C587D" w:rsidRDefault="008C587D" w:rsidP="003E3873">
      <w:pPr>
        <w:pStyle w:val="NormalWeb"/>
        <w:spacing w:before="0" w:beforeAutospacing="0" w:after="0" w:line="240" w:lineRule="auto"/>
        <w:ind w:left="284"/>
        <w:rPr>
          <w:lang w:val="es-ES"/>
        </w:rPr>
      </w:pPr>
    </w:p>
    <w:p w:rsidR="008C587D" w:rsidRPr="00C34DF1" w:rsidRDefault="0030423E" w:rsidP="003E3873">
      <w:pPr>
        <w:pStyle w:val="NormalWeb"/>
        <w:spacing w:before="0" w:beforeAutospacing="0" w:after="0" w:line="240" w:lineRule="auto"/>
        <w:rPr>
          <w:lang w:val="en-US"/>
        </w:rPr>
      </w:pPr>
      <w:proofErr w:type="spellStart"/>
      <w:r>
        <w:rPr>
          <w:lang w:val="es-ES"/>
        </w:rPr>
        <w:t>Item</w:t>
      </w:r>
      <w:proofErr w:type="spellEnd"/>
      <w:r>
        <w:rPr>
          <w:lang w:val="es-ES"/>
        </w:rPr>
        <w:t>. 7)</w:t>
      </w:r>
      <w:r w:rsidR="008C587D">
        <w:rPr>
          <w:lang w:val="es-ES"/>
        </w:rPr>
        <w:t xml:space="preserve"> 10 Rollo fleje acero </w:t>
      </w:r>
      <w:proofErr w:type="spellStart"/>
      <w:r w:rsidR="008C587D">
        <w:rPr>
          <w:lang w:val="es-ES"/>
        </w:rPr>
        <w:t>inox</w:t>
      </w:r>
      <w:proofErr w:type="spellEnd"/>
      <w:r w:rsidR="008C587D">
        <w:rPr>
          <w:lang w:val="es-ES"/>
        </w:rPr>
        <w:t xml:space="preserve">. </w:t>
      </w:r>
      <w:r w:rsidR="008C587D" w:rsidRPr="00C34DF1">
        <w:rPr>
          <w:lang w:val="en-US"/>
        </w:rPr>
        <w:t>19 x 0.7</w:t>
      </w:r>
    </w:p>
    <w:p w:rsidR="008C587D" w:rsidRPr="00C34DF1" w:rsidRDefault="008C587D" w:rsidP="003E3873">
      <w:pPr>
        <w:pStyle w:val="NormalWeb"/>
        <w:spacing w:before="0" w:beforeAutospacing="0" w:after="0" w:line="240" w:lineRule="auto"/>
        <w:ind w:left="284"/>
        <w:rPr>
          <w:lang w:val="en-US"/>
        </w:rPr>
      </w:pPr>
    </w:p>
    <w:p w:rsidR="008C587D" w:rsidRPr="00C34DF1" w:rsidRDefault="0030423E" w:rsidP="003E3873">
      <w:pPr>
        <w:pStyle w:val="NormalWeb"/>
        <w:spacing w:before="0" w:beforeAutospacing="0" w:after="0" w:line="240" w:lineRule="auto"/>
        <w:ind w:left="284"/>
        <w:rPr>
          <w:lang w:val="en-US"/>
        </w:rPr>
      </w:pPr>
      <w:r w:rsidRPr="00C34DF1">
        <w:rPr>
          <w:lang w:val="en-US"/>
        </w:rPr>
        <w:t xml:space="preserve">Item. 8) </w:t>
      </w:r>
      <w:r w:rsidR="008C587D" w:rsidRPr="00C34DF1">
        <w:rPr>
          <w:lang w:val="en-US"/>
        </w:rPr>
        <w:t xml:space="preserve"> 250 Hebillas p/fleje 19 x 0.7</w:t>
      </w:r>
    </w:p>
    <w:p w:rsidR="008C587D" w:rsidRPr="00C34DF1" w:rsidRDefault="008C587D" w:rsidP="003E3873">
      <w:pPr>
        <w:pStyle w:val="NormalWeb"/>
        <w:spacing w:before="0" w:beforeAutospacing="0" w:after="0" w:line="240" w:lineRule="auto"/>
        <w:ind w:left="284"/>
        <w:rPr>
          <w:lang w:val="en-US"/>
        </w:rPr>
      </w:pPr>
    </w:p>
    <w:p w:rsidR="008C587D" w:rsidRPr="00C34DF1" w:rsidRDefault="003E3873" w:rsidP="003E3873">
      <w:pPr>
        <w:pStyle w:val="NormalWeb"/>
        <w:spacing w:before="0" w:beforeAutospacing="0" w:after="0" w:line="240" w:lineRule="auto"/>
        <w:ind w:left="284"/>
        <w:rPr>
          <w:lang w:val="en-US"/>
        </w:rPr>
      </w:pPr>
      <w:r w:rsidRPr="00C34DF1">
        <w:rPr>
          <w:lang w:val="en-US"/>
        </w:rPr>
        <w:t xml:space="preserve">Item. 9) </w:t>
      </w:r>
      <w:r w:rsidR="008C587D" w:rsidRPr="00C34DF1">
        <w:rPr>
          <w:lang w:val="en-US"/>
        </w:rPr>
        <w:t>700 Precintos de 30 cms.</w:t>
      </w:r>
    </w:p>
    <w:p w:rsidR="008C587D" w:rsidRPr="00C34DF1" w:rsidRDefault="008C587D" w:rsidP="003E3873">
      <w:pPr>
        <w:pStyle w:val="NormalWeb"/>
        <w:spacing w:before="0" w:beforeAutospacing="0" w:after="0" w:line="240" w:lineRule="auto"/>
        <w:ind w:left="284"/>
        <w:rPr>
          <w:lang w:val="en-US"/>
        </w:rPr>
      </w:pPr>
    </w:p>
    <w:p w:rsidR="008C587D" w:rsidRDefault="003E3873" w:rsidP="003E3873">
      <w:pPr>
        <w:pStyle w:val="NormalWeb"/>
        <w:spacing w:before="0" w:beforeAutospacing="0" w:after="0" w:line="240" w:lineRule="auto"/>
        <w:ind w:left="284"/>
        <w:rPr>
          <w:lang w:val="es-ES"/>
        </w:rPr>
      </w:pPr>
      <w:r w:rsidRPr="00C34DF1">
        <w:rPr>
          <w:lang w:val="en-US"/>
        </w:rPr>
        <w:t xml:space="preserve">Item. 10) </w:t>
      </w:r>
      <w:r w:rsidR="008C587D" w:rsidRPr="00C34DF1">
        <w:rPr>
          <w:lang w:val="en-US"/>
        </w:rPr>
        <w:t xml:space="preserve">700 Mts. </w:t>
      </w:r>
      <w:r w:rsidR="008C587D">
        <w:rPr>
          <w:lang w:val="es-ES"/>
        </w:rPr>
        <w:t>Cable Bajo Plástico 2 x 1 m/m</w:t>
      </w:r>
    </w:p>
    <w:p w:rsidR="008C587D" w:rsidRDefault="008C587D" w:rsidP="003E3873">
      <w:pPr>
        <w:pStyle w:val="NormalWeb"/>
        <w:spacing w:before="0" w:beforeAutospacing="0" w:after="0" w:line="240" w:lineRule="auto"/>
        <w:ind w:left="284"/>
        <w:rPr>
          <w:lang w:val="es-ES"/>
        </w:rPr>
      </w:pPr>
    </w:p>
    <w:p w:rsidR="008C587D" w:rsidRDefault="003E3873"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11) </w:t>
      </w:r>
      <w:r w:rsidR="008C587D">
        <w:rPr>
          <w:lang w:val="es-ES"/>
        </w:rPr>
        <w:t xml:space="preserve"> 3 Cajón p/medidor Trifásico</w:t>
      </w:r>
    </w:p>
    <w:p w:rsidR="008C587D" w:rsidRDefault="008C587D" w:rsidP="003E3873">
      <w:pPr>
        <w:pStyle w:val="NormalWeb"/>
        <w:spacing w:before="0" w:beforeAutospacing="0" w:after="0" w:line="240" w:lineRule="auto"/>
        <w:ind w:left="284"/>
        <w:rPr>
          <w:lang w:val="es-ES"/>
        </w:rPr>
      </w:pPr>
    </w:p>
    <w:p w:rsidR="008C587D" w:rsidRDefault="003E3873"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12) </w:t>
      </w:r>
      <w:r w:rsidR="008C587D">
        <w:rPr>
          <w:lang w:val="es-ES"/>
        </w:rPr>
        <w:t xml:space="preserve"> 3 Cajón Estanco 50 x 50</w:t>
      </w:r>
    </w:p>
    <w:p w:rsidR="008C587D" w:rsidRDefault="008C587D" w:rsidP="003E3873">
      <w:pPr>
        <w:pStyle w:val="NormalWeb"/>
        <w:spacing w:before="0" w:beforeAutospacing="0" w:after="0" w:line="240" w:lineRule="auto"/>
        <w:ind w:left="284"/>
        <w:rPr>
          <w:lang w:val="es-ES"/>
        </w:rPr>
      </w:pPr>
    </w:p>
    <w:p w:rsidR="008C587D" w:rsidRDefault="003E3873"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13) </w:t>
      </w:r>
      <w:r w:rsidR="008C587D">
        <w:rPr>
          <w:lang w:val="es-ES"/>
        </w:rPr>
        <w:t xml:space="preserve">1 </w:t>
      </w:r>
      <w:proofErr w:type="spellStart"/>
      <w:r w:rsidR="008C587D">
        <w:rPr>
          <w:lang w:val="es-ES"/>
        </w:rPr>
        <w:t>ContactorCuatripolar</w:t>
      </w:r>
      <w:proofErr w:type="spellEnd"/>
      <w:r w:rsidR="008C587D">
        <w:rPr>
          <w:lang w:val="es-ES"/>
        </w:rPr>
        <w:t xml:space="preserve"> 60 </w:t>
      </w:r>
      <w:proofErr w:type="spellStart"/>
      <w:r w:rsidR="008C587D">
        <w:rPr>
          <w:lang w:val="es-ES"/>
        </w:rPr>
        <w:t>Amp</w:t>
      </w:r>
      <w:proofErr w:type="spellEnd"/>
      <w:r w:rsidR="008C587D">
        <w:rPr>
          <w:lang w:val="es-ES"/>
        </w:rPr>
        <w:t>.</w:t>
      </w:r>
    </w:p>
    <w:p w:rsidR="008C587D" w:rsidRDefault="008C587D" w:rsidP="003E3873">
      <w:pPr>
        <w:pStyle w:val="NormalWeb"/>
        <w:spacing w:before="0" w:beforeAutospacing="0" w:after="0" w:line="240" w:lineRule="auto"/>
        <w:ind w:left="284"/>
        <w:rPr>
          <w:lang w:val="es-ES"/>
        </w:rPr>
      </w:pPr>
    </w:p>
    <w:p w:rsidR="008C587D" w:rsidRDefault="003E3873"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14) </w:t>
      </w:r>
      <w:r w:rsidR="008C587D">
        <w:rPr>
          <w:lang w:val="es-ES"/>
        </w:rPr>
        <w:t xml:space="preserve">1 </w:t>
      </w:r>
      <w:proofErr w:type="spellStart"/>
      <w:r w:rsidR="008C587D">
        <w:rPr>
          <w:lang w:val="es-ES"/>
        </w:rPr>
        <w:t>ContactorCuatripolar</w:t>
      </w:r>
      <w:proofErr w:type="spellEnd"/>
      <w:r w:rsidR="008C587D">
        <w:rPr>
          <w:lang w:val="es-ES"/>
        </w:rPr>
        <w:t xml:space="preserve"> 40 </w:t>
      </w:r>
      <w:proofErr w:type="spellStart"/>
      <w:r w:rsidR="008C587D">
        <w:rPr>
          <w:lang w:val="es-ES"/>
        </w:rPr>
        <w:t>Amp</w:t>
      </w:r>
      <w:proofErr w:type="spellEnd"/>
      <w:r w:rsidR="008C587D">
        <w:rPr>
          <w:lang w:val="es-ES"/>
        </w:rPr>
        <w:t>.</w:t>
      </w:r>
    </w:p>
    <w:p w:rsidR="008C587D" w:rsidRDefault="008C587D" w:rsidP="003E3873">
      <w:pPr>
        <w:pStyle w:val="NormalWeb"/>
        <w:spacing w:before="0" w:beforeAutospacing="0" w:after="0" w:line="240" w:lineRule="auto"/>
        <w:ind w:left="284"/>
        <w:rPr>
          <w:lang w:val="es-ES"/>
        </w:rPr>
      </w:pPr>
    </w:p>
    <w:p w:rsidR="008C587D" w:rsidRDefault="003E3873"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15) </w:t>
      </w:r>
      <w:r w:rsidR="008C587D">
        <w:rPr>
          <w:lang w:val="es-ES"/>
        </w:rPr>
        <w:t xml:space="preserve"> 1 Llave Térmica de 60 </w:t>
      </w:r>
      <w:proofErr w:type="spellStart"/>
      <w:r w:rsidR="008C587D">
        <w:rPr>
          <w:lang w:val="es-ES"/>
        </w:rPr>
        <w:t>Amp</w:t>
      </w:r>
      <w:proofErr w:type="spellEnd"/>
      <w:r w:rsidR="008C587D">
        <w:rPr>
          <w:lang w:val="es-ES"/>
        </w:rPr>
        <w:t>.</w:t>
      </w:r>
    </w:p>
    <w:p w:rsidR="008C587D" w:rsidRDefault="008C587D" w:rsidP="003E3873">
      <w:pPr>
        <w:pStyle w:val="NormalWeb"/>
        <w:spacing w:before="0" w:beforeAutospacing="0" w:after="0" w:line="240" w:lineRule="auto"/>
        <w:ind w:left="284"/>
        <w:rPr>
          <w:lang w:val="es-ES"/>
        </w:rPr>
      </w:pPr>
    </w:p>
    <w:p w:rsidR="008C587D" w:rsidRDefault="003E3873" w:rsidP="003E3873">
      <w:pPr>
        <w:pStyle w:val="NormalWeb"/>
        <w:spacing w:before="0" w:beforeAutospacing="0" w:after="0" w:line="240" w:lineRule="auto"/>
        <w:ind w:left="284"/>
        <w:rPr>
          <w:lang w:val="es-ES"/>
        </w:rPr>
      </w:pPr>
      <w:proofErr w:type="spellStart"/>
      <w:r>
        <w:rPr>
          <w:lang w:val="es-ES"/>
        </w:rPr>
        <w:t>Item</w:t>
      </w:r>
      <w:proofErr w:type="spellEnd"/>
      <w:r>
        <w:rPr>
          <w:lang w:val="es-ES"/>
        </w:rPr>
        <w:t xml:space="preserve">. 16) </w:t>
      </w:r>
      <w:r w:rsidR="008C587D">
        <w:rPr>
          <w:lang w:val="es-ES"/>
        </w:rPr>
        <w:t xml:space="preserve"> 1 Llave Térmica de 40 </w:t>
      </w:r>
      <w:proofErr w:type="spellStart"/>
      <w:r w:rsidR="008C587D">
        <w:rPr>
          <w:lang w:val="es-ES"/>
        </w:rPr>
        <w:t>Amp</w:t>
      </w:r>
      <w:proofErr w:type="spellEnd"/>
      <w:r w:rsidR="008C587D">
        <w:rPr>
          <w:lang w:val="es-ES"/>
        </w:rPr>
        <w:t>.</w:t>
      </w:r>
    </w:p>
    <w:p w:rsidR="00F36683" w:rsidRDefault="00C34DF1" w:rsidP="003E3873">
      <w:pPr>
        <w:ind w:left="284"/>
      </w:pPr>
    </w:p>
    <w:sectPr w:rsidR="00F36683" w:rsidSect="00FB52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8DA"/>
    <w:multiLevelType w:val="multilevel"/>
    <w:tmpl w:val="21622650"/>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3A27EF2"/>
    <w:multiLevelType w:val="multilevel"/>
    <w:tmpl w:val="A89881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B097E"/>
    <w:multiLevelType w:val="multilevel"/>
    <w:tmpl w:val="B07C3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D11D17"/>
    <w:multiLevelType w:val="multilevel"/>
    <w:tmpl w:val="56CC5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AD7AD1"/>
    <w:multiLevelType w:val="multilevel"/>
    <w:tmpl w:val="D6BEA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9A3C9F"/>
    <w:multiLevelType w:val="multilevel"/>
    <w:tmpl w:val="C9CC3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7950EA"/>
    <w:multiLevelType w:val="multilevel"/>
    <w:tmpl w:val="B148BE0C"/>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nsid w:val="37BD7FC3"/>
    <w:multiLevelType w:val="multilevel"/>
    <w:tmpl w:val="723A8D64"/>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39D85474"/>
    <w:multiLevelType w:val="multilevel"/>
    <w:tmpl w:val="652E0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824BE7"/>
    <w:multiLevelType w:val="hybridMultilevel"/>
    <w:tmpl w:val="95321E96"/>
    <w:lvl w:ilvl="0" w:tplc="229C2F0E">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3BED43AB"/>
    <w:multiLevelType w:val="multilevel"/>
    <w:tmpl w:val="991EA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2C606A"/>
    <w:multiLevelType w:val="multilevel"/>
    <w:tmpl w:val="1396A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1C597C"/>
    <w:multiLevelType w:val="multilevel"/>
    <w:tmpl w:val="8B68B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645C59"/>
    <w:multiLevelType w:val="hybridMultilevel"/>
    <w:tmpl w:val="9CF61D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571D327A"/>
    <w:multiLevelType w:val="multilevel"/>
    <w:tmpl w:val="526C6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0D7087"/>
    <w:multiLevelType w:val="multilevel"/>
    <w:tmpl w:val="956E2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2F53FE"/>
    <w:multiLevelType w:val="multilevel"/>
    <w:tmpl w:val="DCA67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E7344A"/>
    <w:multiLevelType w:val="multilevel"/>
    <w:tmpl w:val="512C598E"/>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nsid w:val="6A9E6C54"/>
    <w:multiLevelType w:val="multilevel"/>
    <w:tmpl w:val="26A02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23536A"/>
    <w:multiLevelType w:val="multilevel"/>
    <w:tmpl w:val="82160DD2"/>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731F2C9D"/>
    <w:multiLevelType w:val="multilevel"/>
    <w:tmpl w:val="56EE7D10"/>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nsid w:val="781169AC"/>
    <w:multiLevelType w:val="multilevel"/>
    <w:tmpl w:val="8F46FE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467853"/>
    <w:multiLevelType w:val="multilevel"/>
    <w:tmpl w:val="46E8A8B4"/>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79E929CD"/>
    <w:multiLevelType w:val="multilevel"/>
    <w:tmpl w:val="B82A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EF5974"/>
    <w:multiLevelType w:val="multilevel"/>
    <w:tmpl w:val="0172B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19"/>
  </w:num>
  <w:num w:numId="4">
    <w:abstractNumId w:val="16"/>
  </w:num>
  <w:num w:numId="5">
    <w:abstractNumId w:val="11"/>
  </w:num>
  <w:num w:numId="6">
    <w:abstractNumId w:val="2"/>
  </w:num>
  <w:num w:numId="7">
    <w:abstractNumId w:val="12"/>
  </w:num>
  <w:num w:numId="8">
    <w:abstractNumId w:val="14"/>
  </w:num>
  <w:num w:numId="9">
    <w:abstractNumId w:val="4"/>
  </w:num>
  <w:num w:numId="10">
    <w:abstractNumId w:val="10"/>
  </w:num>
  <w:num w:numId="11">
    <w:abstractNumId w:val="8"/>
  </w:num>
  <w:num w:numId="12">
    <w:abstractNumId w:val="21"/>
  </w:num>
  <w:num w:numId="13">
    <w:abstractNumId w:val="18"/>
  </w:num>
  <w:num w:numId="14">
    <w:abstractNumId w:val="6"/>
  </w:num>
  <w:num w:numId="15">
    <w:abstractNumId w:val="7"/>
  </w:num>
  <w:num w:numId="16">
    <w:abstractNumId w:val="17"/>
  </w:num>
  <w:num w:numId="17">
    <w:abstractNumId w:val="0"/>
  </w:num>
  <w:num w:numId="18">
    <w:abstractNumId w:val="3"/>
  </w:num>
  <w:num w:numId="19">
    <w:abstractNumId w:val="15"/>
  </w:num>
  <w:num w:numId="20">
    <w:abstractNumId w:val="1"/>
  </w:num>
  <w:num w:numId="21">
    <w:abstractNumId w:val="20"/>
  </w:num>
  <w:num w:numId="22">
    <w:abstractNumId w:val="5"/>
  </w:num>
  <w:num w:numId="23">
    <w:abstractNumId w:val="24"/>
  </w:num>
  <w:num w:numId="24">
    <w:abstractNumId w:val="13"/>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587D"/>
    <w:rsid w:val="000B50A3"/>
    <w:rsid w:val="000C59E1"/>
    <w:rsid w:val="00137C40"/>
    <w:rsid w:val="00215D96"/>
    <w:rsid w:val="002241F5"/>
    <w:rsid w:val="002564A2"/>
    <w:rsid w:val="00276FCD"/>
    <w:rsid w:val="002E7B22"/>
    <w:rsid w:val="0030423E"/>
    <w:rsid w:val="00340567"/>
    <w:rsid w:val="003B265C"/>
    <w:rsid w:val="003E3873"/>
    <w:rsid w:val="00425BB8"/>
    <w:rsid w:val="004A7EC8"/>
    <w:rsid w:val="004D2EFE"/>
    <w:rsid w:val="00557351"/>
    <w:rsid w:val="00694B6C"/>
    <w:rsid w:val="007807E6"/>
    <w:rsid w:val="007D38AC"/>
    <w:rsid w:val="00804A6F"/>
    <w:rsid w:val="0086678D"/>
    <w:rsid w:val="00867169"/>
    <w:rsid w:val="008C587D"/>
    <w:rsid w:val="009438A5"/>
    <w:rsid w:val="00A70B06"/>
    <w:rsid w:val="00C04777"/>
    <w:rsid w:val="00C34DF1"/>
    <w:rsid w:val="00D75C5D"/>
    <w:rsid w:val="00D812E2"/>
    <w:rsid w:val="00D85FA5"/>
    <w:rsid w:val="00DC573E"/>
    <w:rsid w:val="00E26437"/>
    <w:rsid w:val="00EA1D2E"/>
    <w:rsid w:val="00EF016C"/>
    <w:rsid w:val="00F233D5"/>
    <w:rsid w:val="00F45378"/>
    <w:rsid w:val="00F72827"/>
    <w:rsid w:val="00FB5250"/>
    <w:rsid w:val="00FE0E45"/>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2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C587D"/>
    <w:pPr>
      <w:spacing w:before="100" w:beforeAutospacing="1" w:after="142" w:line="288"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unhideWhenUsed/>
    <w:rsid w:val="008C587D"/>
    <w:rPr>
      <w:color w:val="0000FF"/>
      <w:u w:val="single"/>
    </w:rPr>
  </w:style>
  <w:style w:type="paragraph" w:styleId="Textodeglobo">
    <w:name w:val="Balloon Text"/>
    <w:basedOn w:val="Normal"/>
    <w:link w:val="TextodegloboCar"/>
    <w:uiPriority w:val="99"/>
    <w:semiHidden/>
    <w:unhideWhenUsed/>
    <w:rsid w:val="003042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423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539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idt.gub.u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12</Pages>
  <Words>2696</Words>
  <Characters>14830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Vazquez Farias</dc:creator>
  <cp:keywords/>
  <dc:description/>
  <cp:lastModifiedBy>3326</cp:lastModifiedBy>
  <cp:revision>28</cp:revision>
  <cp:lastPrinted>2019-08-14T20:18:00Z</cp:lastPrinted>
  <dcterms:created xsi:type="dcterms:W3CDTF">2019-08-13T21:12:00Z</dcterms:created>
  <dcterms:modified xsi:type="dcterms:W3CDTF">2019-08-14T20:19:00Z</dcterms:modified>
</cp:coreProperties>
</file>