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108.0" w:type="dxa"/>
        <w:tblLayout w:type="fixed"/>
        <w:tblLook w:val="0000"/>
      </w:tblPr>
      <w:tblGrid>
        <w:gridCol w:w="2950"/>
        <w:gridCol w:w="6999"/>
        <w:gridCol w:w="10"/>
        <w:gridCol w:w="421"/>
        <w:tblGridChange w:id="0">
          <w:tblGrid>
            <w:gridCol w:w="2950"/>
            <w:gridCol w:w="6999"/>
            <w:gridCol w:w="10"/>
            <w:gridCol w:w="421"/>
          </w:tblGrid>
        </w:tblGridChange>
      </w:tblGrid>
      <w:tr>
        <w:trPr>
          <w:trHeight w:val="43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IDENTIFICACIÓN DEL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3dfee" w:val="clear"/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Técnico Prevencionista IDT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vertAlign w:val="baseline"/>
                <w:rtl w:val="0"/>
              </w:rPr>
              <w:t xml:space="preserve">REPORTA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Director/a de Recursos Humanos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vertAlign w:val="baseline"/>
                <w:rtl w:val="0"/>
              </w:rPr>
              <w:t xml:space="preserve">DIRECCIÓN O 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3dfee" w:val="clear"/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 DIRECCION GRAL DE HACIENDA .- Dirección de Recursos Humanos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 GENERAL DEL 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52" w:hRule="atLeast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5f91"/>
                <w:sz w:val="20"/>
                <w:szCs w:val="20"/>
                <w:vertAlign w:val="baseline"/>
                <w:rtl w:val="0"/>
              </w:rPr>
              <w:t xml:space="preserve">Ámbito de 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3dfee" w:val="clear"/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Será de su responsabilidad establecer, ejecutar y controlar todo lo concerniente a la seguridad laboral de los funcionarios departamentales. Capacitar, orientar, dirigir y controlar en cuanto a todo lo relacionado con la seguridad e higiene laboral. 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Disponibilidad para desplazarse permanentemente por la ciudad o el departamento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7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240" w:lineRule="auto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5f91"/>
                <w:sz w:val="20"/>
                <w:szCs w:val="20"/>
                <w:vertAlign w:val="baseline"/>
                <w:rtl w:val="0"/>
              </w:rPr>
              <w:t xml:space="preserve">3.      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3144"/>
                <w:sz w:val="20"/>
                <w:szCs w:val="20"/>
                <w:vertAlign w:val="baseline"/>
                <w:rtl w:val="0"/>
              </w:rPr>
              <w:t xml:space="preserve">Título o profesión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  <w:rtl w:val="0"/>
              </w:rPr>
              <w:t xml:space="preserve">Título de Ingeniero Técnico Prevencionista y/o Técnico Prevencionista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0"/>
                <w:color w:val="113144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3144"/>
                <w:sz w:val="20"/>
                <w:szCs w:val="20"/>
                <w:vertAlign w:val="baseline"/>
                <w:rtl w:val="0"/>
              </w:rPr>
              <w:t xml:space="preserve">Edad: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  <w:rtl w:val="0"/>
              </w:rPr>
              <w:t xml:space="preserve">Entre 24 y 45 años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3144"/>
                <w:sz w:val="20"/>
                <w:szCs w:val="20"/>
                <w:vertAlign w:val="baseline"/>
                <w:rtl w:val="0"/>
              </w:rPr>
              <w:t xml:space="preserve">Formación complementaria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  <w:rtl w:val="0"/>
              </w:rPr>
              <w:t xml:space="preserve">•</w:t>
              <w:tab/>
              <w:t xml:space="preserve">Manejo de Office.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  <w:rtl w:val="0"/>
              </w:rPr>
              <w:t xml:space="preserve">•</w:t>
              <w:tab/>
              <w:t xml:space="preserve">Manejo de e-mail y de herramientas tecnológicas para uso administrativo.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  <w:rtl w:val="0"/>
              </w:rPr>
              <w:t xml:space="preserve">•</w:t>
              <w:tab/>
              <w:t xml:space="preserve">Atención de funcionarios presencial y virtual.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ind w:left="135" w:hanging="360"/>
              <w:jc w:val="both"/>
              <w:rPr>
                <w:color w:val="365f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3144"/>
                <w:sz w:val="20"/>
                <w:szCs w:val="20"/>
                <w:vertAlign w:val="baseline"/>
                <w:rtl w:val="0"/>
              </w:rPr>
              <w:t xml:space="preserve">Experiencia Previa Necesaria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vertAlign w:val="baseline"/>
                <w:rtl w:val="0"/>
              </w:rPr>
              <w:t xml:space="preserve">No  se requiere pero se valorará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0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3144"/>
                <w:sz w:val="20"/>
                <w:szCs w:val="20"/>
                <w:vertAlign w:val="baseline"/>
                <w:rtl w:val="0"/>
              </w:rPr>
              <w:t xml:space="preserve">Competencias o Habilidades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Proactividad: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 anticipa a posibles dificultades buscando soluciones coordinadas y eficientes.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Flexibilidad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Capacidad de adaptación a cambios en la planificación de las autoridades, realizando las respectivas modificaciones en la planificación y organización de tareas.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Permanente retroalimentación informativa con pares y superiores y funcionarios, de manera asertiva y coordinada.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Planificación y Organización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Establecer plan de trabajo para cumplir con las tareas encomendadas.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Obligación de responder dentro de los plazos y niveles de calidad exigidos, con las tareas asignadas.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Preocupación por el orden y la calidad: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Verifica permanentemente la exactitud de la información y la calidad en el cumplimiento de las tareas asignadas. De igual forma, mantiene registros claros de las actividades efectuadas.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0"/>
                <w:color w:val="113144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dfee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vertAlign w:val="baseline"/>
        </w:rPr>
        <w:sectPr>
          <w:headerReference r:id="rId6" w:type="first"/>
          <w:footerReference r:id="rId7" w:type="default"/>
          <w:pgSz w:h="15840" w:w="12240" w:orient="portrait"/>
          <w:pgMar w:bottom="1134" w:top="1134" w:left="1134" w:right="1134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0.0" w:type="dxa"/>
        <w:jc w:val="left"/>
        <w:tblInd w:w="0.0" w:type="dxa"/>
        <w:tblLayout w:type="fixed"/>
        <w:tblLook w:val="00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trHeight w:val="9720" w:hRule="atLeast"/>
        </w:trP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4C">
            <w:pPr>
              <w:ind w:left="437" w:firstLine="0"/>
              <w:jc w:val="both"/>
              <w:rPr>
                <w:rFonts w:ascii="Calibri" w:cs="Calibri" w:eastAsia="Calibri" w:hAnsi="Calibri"/>
                <w:b w:val="0"/>
                <w:color w:val="365f91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5f91"/>
                <w:u w:val="single"/>
                <w:vertAlign w:val="baseline"/>
                <w:rtl w:val="0"/>
              </w:rPr>
              <w:t xml:space="preserve">Documentación requerida: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437" w:firstLine="0"/>
              <w:jc w:val="both"/>
              <w:rPr>
                <w:rFonts w:ascii="Calibri" w:cs="Calibri" w:eastAsia="Calibri" w:hAnsi="Calibri"/>
                <w:b w:val="0"/>
                <w:color w:val="365f91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A los postulantes se les exigirá la presentación de la siguiente documentación: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Fotocopia de Cédula de Identidad vigente.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Fotocopia de Credencial Cívica y constancia de voto.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Fotocopia de Carné de salud.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Fotocopia Libreta de conducir.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Fotocopia de título habilitante, traer el original para autentificar fotocopia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Certificado de estudios original (escolaridad) sellado y debidamente firmado por el centro de estudio que lo emita.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Justificativo de residencia (factura de servicio a nombre propio y/o constancia policial de domicilio).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C.V. que contenga datos personales del postulante, formación curricular, experiencia laboral y méritos.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b w:val="0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437" w:firstLine="0"/>
              <w:jc w:val="both"/>
              <w:rPr>
                <w:rFonts w:ascii="Calibri" w:cs="Calibri" w:eastAsia="Calibri" w:hAnsi="Calibri"/>
                <w:b w:val="0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437" w:firstLine="0"/>
              <w:jc w:val="both"/>
              <w:rPr>
                <w:rFonts w:ascii="Calibri" w:cs="Calibri" w:eastAsia="Calibri" w:hAnsi="Calibri"/>
                <w:b w:val="0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5f91"/>
                <w:sz w:val="20"/>
                <w:szCs w:val="20"/>
                <w:vertAlign w:val="baseline"/>
                <w:rtl w:val="0"/>
              </w:rPr>
              <w:t xml:space="preserve">SE OFRECE: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437" w:firstLine="0"/>
              <w:jc w:val="both"/>
              <w:rPr>
                <w:rFonts w:ascii="Calibri" w:cs="Calibri" w:eastAsia="Calibri" w:hAnsi="Calibri"/>
                <w:b w:val="0"/>
                <w:color w:val="365f9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437" w:firstLine="0"/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u w:val="single"/>
                <w:vertAlign w:val="baseline"/>
                <w:rtl w:val="0"/>
              </w:rPr>
              <w:t xml:space="preserve">Horarios ajustados a requerimientos de la IDT</w:t>
            </w:r>
          </w:p>
          <w:p w:rsidR="00000000" w:rsidDel="00000000" w:rsidP="00000000" w:rsidRDefault="00000000" w:rsidRPr="00000000" w14:paraId="0000005C">
            <w:pPr>
              <w:ind w:left="437" w:firstLine="0"/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u w:val="single"/>
                <w:vertAlign w:val="baseline"/>
                <w:rtl w:val="0"/>
              </w:rPr>
              <w:t xml:space="preserve">Clima de trabajo ameno y confortable.</w:t>
            </w:r>
          </w:p>
          <w:p w:rsidR="00000000" w:rsidDel="00000000" w:rsidP="00000000" w:rsidRDefault="00000000" w:rsidRPr="00000000" w14:paraId="0000005D">
            <w:pPr>
              <w:ind w:left="437" w:firstLine="0"/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0"/>
                <w:szCs w:val="20"/>
                <w:u w:val="single"/>
                <w:vertAlign w:val="baseline"/>
                <w:rtl w:val="0"/>
              </w:rPr>
              <w:t xml:space="preserve">Posibilidades de crecimiento profesional y aprendizaje.</w:t>
            </w:r>
          </w:p>
          <w:p w:rsidR="00000000" w:rsidDel="00000000" w:rsidP="00000000" w:rsidRDefault="00000000" w:rsidRPr="00000000" w14:paraId="0000005E">
            <w:pPr>
              <w:ind w:left="437" w:firstLine="0"/>
              <w:jc w:val="both"/>
              <w:rPr>
                <w:rFonts w:ascii="Calibri" w:cs="Calibri" w:eastAsia="Calibri" w:hAnsi="Calibri"/>
                <w:color w:val="365f91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437" w:firstLine="0"/>
              <w:jc w:val="both"/>
              <w:rPr>
                <w:rFonts w:ascii="Calibri" w:cs="Calibri" w:eastAsia="Calibri" w:hAnsi="Calibri"/>
                <w:b w:val="0"/>
                <w:color w:val="365f91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5f91"/>
                <w:u w:val="single"/>
                <w:vertAlign w:val="baseline"/>
                <w:rtl w:val="0"/>
              </w:rPr>
              <w:t xml:space="preserve">Se recibirá el currículum, documentación solicitada y carta de interés en Recursos Humanos hasta el viernes 28 de mayo del 2021, en horario de 12:30 a 18:00. (Se mantendrá absoluta reserva hasta resolución).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437" w:firstLine="0"/>
              <w:jc w:val="both"/>
              <w:rPr>
                <w:rFonts w:ascii="Calibri" w:cs="Calibri" w:eastAsia="Calibri" w:hAnsi="Calibri"/>
                <w:b w:val="0"/>
                <w:color w:val="365f91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437" w:firstLine="0"/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u w:val="single"/>
                <w:vertAlign w:val="baseline"/>
                <w:rtl w:val="0"/>
              </w:rPr>
              <w:t xml:space="preserve">Etapas del proceso de selección:</w:t>
            </w:r>
          </w:p>
          <w:p w:rsidR="00000000" w:rsidDel="00000000" w:rsidP="00000000" w:rsidRDefault="00000000" w:rsidRPr="00000000" w14:paraId="00000062">
            <w:pPr>
              <w:ind w:left="437" w:firstLine="0"/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ind w:left="644" w:hanging="360"/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Evaluación de Carpeta de  Meritos y Antecedentes.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5"/>
              </w:numPr>
              <w:ind w:left="644" w:hanging="360"/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Evaluación psicolaboral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65f9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ind w:left="644" w:hanging="360"/>
              <w:jc w:val="both"/>
              <w:rPr>
                <w:rFonts w:ascii="Calibri" w:cs="Calibri" w:eastAsia="Calibri" w:hAnsi="Calibri"/>
                <w:color w:val="365f9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5f91"/>
                <w:sz w:val="22"/>
                <w:szCs w:val="22"/>
                <w:vertAlign w:val="baseline"/>
                <w:rtl w:val="0"/>
              </w:rPr>
              <w:t xml:space="preserve">Entrevista personal.</w:t>
            </w:r>
          </w:p>
          <w:p w:rsidR="00000000" w:rsidDel="00000000" w:rsidP="00000000" w:rsidRDefault="00000000" w:rsidRPr="00000000" w14:paraId="00000068">
            <w:pPr>
              <w:ind w:left="437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type w:val="nextPage"/>
      <w:pgSz w:h="15840" w:w="12240" w:orient="portrait"/>
      <w:pgMar w:bottom="1134" w:top="1134" w:left="1134" w:right="1134" w:header="72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6714.0" w:type="dxa"/>
      <w:jc w:val="left"/>
      <w:tblInd w:w="-459.0" w:type="dxa"/>
      <w:tblLayout w:type="fixed"/>
      <w:tblLook w:val="0000"/>
    </w:tblPr>
    <w:tblGrid>
      <w:gridCol w:w="10773"/>
      <w:gridCol w:w="264"/>
      <w:gridCol w:w="5677"/>
      <w:tblGridChange w:id="0">
        <w:tblGrid>
          <w:gridCol w:w="10773"/>
          <w:gridCol w:w="264"/>
          <w:gridCol w:w="5677"/>
        </w:tblGrid>
      </w:tblGridChange>
    </w:tblGrid>
    <w:tr>
      <w:trPr>
        <w:trHeight w:val="1425" w:hRule="atLeast"/>
      </w:trPr>
      <w:tc>
        <w:tcPr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-2376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          LLAMADO EXTERNO PARA CUBRIR VACANTE DE TÉCNICO PREVENCIONISTA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-253364</wp:posOffset>
                </wp:positionH>
                <wp:positionV relativeFrom="paragraph">
                  <wp:posOffset>-947419</wp:posOffset>
                </wp:positionV>
                <wp:extent cx="742315" cy="59563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315" cy="595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0" w:line="240" w:lineRule="auto"/>
            <w:ind w:left="-1647" w:right="0" w:hanging="55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ATIVO  RRHH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65f91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4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4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